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475" w:type="dxa"/>
        <w:shd w:val="clear" w:color="auto" w:fill="FFFFFF"/>
        <w:tblCellMar>
          <w:top w:w="15" w:type="dxa"/>
          <w:left w:w="15" w:type="dxa"/>
          <w:bottom w:w="15" w:type="dxa"/>
          <w:right w:w="15" w:type="dxa"/>
        </w:tblCellMar>
        <w:tblLook w:val="04A0" w:firstRow="1" w:lastRow="0" w:firstColumn="1" w:lastColumn="0" w:noHBand="0" w:noVBand="1"/>
      </w:tblPr>
      <w:tblGrid>
        <w:gridCol w:w="11475"/>
      </w:tblGrid>
      <w:tr w:rsidR="00157CD7" w:rsidRPr="00157CD7" w:rsidTr="00157CD7">
        <w:tc>
          <w:tcPr>
            <w:tcW w:w="0" w:type="auto"/>
            <w:shd w:val="clear" w:color="auto" w:fill="FFFFFF"/>
            <w:tcMar>
              <w:top w:w="0" w:type="dxa"/>
              <w:left w:w="0" w:type="dxa"/>
              <w:bottom w:w="0" w:type="dxa"/>
              <w:right w:w="0" w:type="dxa"/>
            </w:tcMar>
            <w:vAlign w:val="center"/>
            <w:hideMark/>
          </w:tcPr>
          <w:p w:rsidR="00157CD7" w:rsidRPr="00157CD7" w:rsidRDefault="00157CD7" w:rsidP="00157CD7">
            <w:pPr>
              <w:spacing w:after="0" w:line="240" w:lineRule="auto"/>
              <w:ind w:left="57" w:right="1701"/>
              <w:jc w:val="both"/>
              <w:rPr>
                <w:rFonts w:ascii="Georgia" w:eastAsia="Times New Roman" w:hAnsi="Georgia" w:cs="Arial"/>
                <w:color w:val="5B5B5B"/>
                <w:sz w:val="36"/>
                <w:szCs w:val="36"/>
                <w:lang w:eastAsia="es-AR"/>
              </w:rPr>
            </w:pPr>
            <w:r w:rsidRPr="00157CD7">
              <w:rPr>
                <w:rFonts w:ascii="Georgia" w:eastAsia="Times New Roman" w:hAnsi="Georgia" w:cs="Arial"/>
                <w:color w:val="5B5B5B"/>
                <w:sz w:val="36"/>
                <w:szCs w:val="36"/>
                <w:lang w:eastAsia="es-AR"/>
              </w:rPr>
              <w:t>TEXTO Y DATOS DE LA NOTIFICACION</w:t>
            </w:r>
          </w:p>
        </w:tc>
      </w:tr>
    </w:tbl>
    <w:p w:rsidR="00157CD7" w:rsidRPr="00157CD7" w:rsidRDefault="00157CD7" w:rsidP="00157CD7">
      <w:pPr>
        <w:shd w:val="clear" w:color="auto" w:fill="FFFFFF"/>
        <w:spacing w:after="0" w:line="240" w:lineRule="auto"/>
        <w:ind w:left="57" w:right="1701"/>
        <w:jc w:val="both"/>
        <w:rPr>
          <w:rFonts w:ascii="Arial" w:eastAsia="Times New Roman" w:hAnsi="Arial" w:cs="Arial"/>
          <w:vanish/>
          <w:color w:val="555555"/>
          <w:sz w:val="24"/>
          <w:szCs w:val="24"/>
          <w:lang w:eastAsia="es-AR"/>
        </w:rPr>
      </w:pPr>
    </w:p>
    <w:tbl>
      <w:tblPr>
        <w:tblW w:w="11475" w:type="dxa"/>
        <w:tblCellMar>
          <w:top w:w="15" w:type="dxa"/>
          <w:left w:w="15" w:type="dxa"/>
          <w:bottom w:w="15" w:type="dxa"/>
          <w:right w:w="15" w:type="dxa"/>
        </w:tblCellMar>
        <w:tblLook w:val="04A0" w:firstRow="1" w:lastRow="0" w:firstColumn="1" w:lastColumn="0" w:noHBand="0" w:noVBand="1"/>
      </w:tblPr>
      <w:tblGrid>
        <w:gridCol w:w="4504"/>
        <w:gridCol w:w="6971"/>
      </w:tblGrid>
      <w:tr w:rsidR="00157CD7" w:rsidRPr="00157CD7" w:rsidTr="00157CD7">
        <w:tc>
          <w:tcPr>
            <w:tcW w:w="0" w:type="auto"/>
            <w:gridSpan w:val="2"/>
            <w:shd w:val="clear" w:color="auto" w:fill="2C4D76"/>
            <w:tcMar>
              <w:top w:w="75" w:type="dxa"/>
              <w:left w:w="225" w:type="dxa"/>
              <w:bottom w:w="75" w:type="dxa"/>
              <w:right w:w="45"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b/>
                <w:bCs/>
                <w:caps/>
                <w:color w:val="FFFFFF"/>
                <w:spacing w:val="30"/>
                <w:sz w:val="18"/>
                <w:szCs w:val="18"/>
                <w:lang w:eastAsia="es-AR"/>
              </w:rPr>
            </w:pPr>
            <w:r w:rsidRPr="00157CD7">
              <w:rPr>
                <w:rFonts w:ascii="Arial" w:eastAsia="Times New Roman" w:hAnsi="Arial" w:cs="Arial"/>
                <w:b/>
                <w:bCs/>
                <w:caps/>
                <w:color w:val="FFFFFF"/>
                <w:spacing w:val="30"/>
                <w:sz w:val="18"/>
                <w:szCs w:val="18"/>
                <w:lang w:eastAsia="es-AR"/>
              </w:rPr>
              <w:t>DATOS NOTIFICACION ELECTRONICA</w:t>
            </w:r>
          </w:p>
        </w:tc>
      </w:tr>
      <w:tr w:rsidR="00157CD7" w:rsidRPr="00157CD7" w:rsidTr="00157CD7">
        <w:tc>
          <w:tcPr>
            <w:tcW w:w="2295" w:type="dxa"/>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Usuario conectado:</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EMILIO SARMIENTO - 24291418038@notificaciones.scba.gov.ar</w:t>
            </w:r>
          </w:p>
        </w:tc>
      </w:tr>
      <w:tr w:rsidR="00157CD7" w:rsidRPr="00157CD7" w:rsidTr="00157CD7">
        <w:tc>
          <w:tcPr>
            <w:tcW w:w="2295" w:type="dxa"/>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Organismo:</w:t>
            </w:r>
          </w:p>
        </w:tc>
        <w:tc>
          <w:tcPr>
            <w:tcW w:w="0" w:type="auto"/>
            <w:shd w:val="clear" w:color="auto" w:fill="auto"/>
            <w:tcMar>
              <w:top w:w="0" w:type="dxa"/>
              <w:left w:w="150" w:type="dxa"/>
              <w:bottom w:w="0" w:type="dxa"/>
              <w:right w:w="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CAMARA DE APELACION EN LO CONTENCIOSO ADMINISTRATIVO - MAR DEL PLATA</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Carátula:</w:t>
            </w:r>
          </w:p>
        </w:tc>
        <w:tc>
          <w:tcPr>
            <w:tcW w:w="0" w:type="auto"/>
            <w:shd w:val="clear" w:color="auto" w:fill="auto"/>
            <w:tcMar>
              <w:top w:w="0" w:type="dxa"/>
              <w:left w:w="150" w:type="dxa"/>
              <w:bottom w:w="0" w:type="dxa"/>
              <w:right w:w="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FRIGORIFICO DE LA COSTA S.A. C/ A.R.B.A S/ PRETENSION ANULATORIA - OTROS JUICIOS</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Número de causa:</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C-10541-MP1E</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Tipo de notificación:</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SENTENCIA</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Destinatarios:</w:t>
            </w:r>
          </w:p>
        </w:tc>
        <w:tc>
          <w:tcPr>
            <w:tcW w:w="0" w:type="auto"/>
            <w:shd w:val="clear" w:color="auto" w:fill="auto"/>
            <w:tcMar>
              <w:top w:w="0" w:type="dxa"/>
              <w:left w:w="150" w:type="dxa"/>
              <w:bottom w:w="0" w:type="dxa"/>
              <w:right w:w="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MORENO@FEPBA.GOV.AR, 24291418038@NOTIFICACIONES.SCBA.GOV.AR</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Fecha Notificación:</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16/09/2022</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Alta o Disponibilidad:</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13/9/2022 13:52:35</w:t>
            </w:r>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Firmado y Notificado por:</w:t>
            </w:r>
          </w:p>
        </w:tc>
        <w:tc>
          <w:tcPr>
            <w:tcW w:w="0" w:type="auto"/>
            <w:shd w:val="clear" w:color="auto" w:fill="auto"/>
            <w:tcMar>
              <w:top w:w="0" w:type="dxa"/>
              <w:left w:w="150" w:type="dxa"/>
              <w:bottom w:w="0" w:type="dxa"/>
              <w:right w:w="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NASAROV María Laura. AUXILIAR LETRADO --- Certificado Correcto. Fecha de Firma: 13/09/2022 13:52:33 </w:t>
            </w:r>
            <w:hyperlink r:id="rId4" w:history="1">
              <w:r w:rsidRPr="00157CD7">
                <w:rPr>
                  <w:rFonts w:ascii="Arial" w:eastAsia="Times New Roman" w:hAnsi="Arial" w:cs="Arial"/>
                  <w:color w:val="FF6600"/>
                  <w:spacing w:val="15"/>
                  <w:sz w:val="18"/>
                  <w:szCs w:val="18"/>
                  <w:lang w:eastAsia="es-AR"/>
                </w:rPr>
                <w:t>Certificado</w:t>
              </w:r>
            </w:hyperlink>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Firmado por:</w:t>
            </w:r>
          </w:p>
        </w:tc>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spacing w:val="15"/>
                <w:sz w:val="18"/>
                <w:szCs w:val="18"/>
                <w:lang w:eastAsia="es-AR"/>
              </w:rPr>
              <w:t>NASAROV María Laura. --- Certificado Correcto. </w:t>
            </w:r>
            <w:hyperlink r:id="rId5" w:history="1">
              <w:r w:rsidRPr="00157CD7">
                <w:rPr>
                  <w:rFonts w:ascii="Arial" w:eastAsia="Times New Roman" w:hAnsi="Arial" w:cs="Arial"/>
                  <w:color w:val="FF6600"/>
                  <w:spacing w:val="15"/>
                  <w:sz w:val="18"/>
                  <w:szCs w:val="18"/>
                  <w:lang w:eastAsia="es-AR"/>
                </w:rPr>
                <w:t>Certificado</w:t>
              </w:r>
            </w:hyperlink>
            <w:r w:rsidRPr="00157CD7">
              <w:rPr>
                <w:rFonts w:ascii="Arial" w:eastAsia="Times New Roman" w:hAnsi="Arial" w:cs="Arial"/>
                <w:spacing w:val="15"/>
                <w:sz w:val="18"/>
                <w:szCs w:val="18"/>
                <w:lang w:eastAsia="es-AR"/>
              </w:rPr>
              <w:br/>
              <w:t>UCIN Diego Fernando. --- Certificado Correcto. </w:t>
            </w:r>
            <w:hyperlink r:id="rId6" w:history="1">
              <w:r w:rsidRPr="00157CD7">
                <w:rPr>
                  <w:rFonts w:ascii="Arial" w:eastAsia="Times New Roman" w:hAnsi="Arial" w:cs="Arial"/>
                  <w:color w:val="FF6600"/>
                  <w:spacing w:val="15"/>
                  <w:sz w:val="18"/>
                  <w:szCs w:val="18"/>
                  <w:lang w:eastAsia="es-AR"/>
                </w:rPr>
                <w:t>Certificado</w:t>
              </w:r>
            </w:hyperlink>
            <w:r w:rsidRPr="00157CD7">
              <w:rPr>
                <w:rFonts w:ascii="Arial" w:eastAsia="Times New Roman" w:hAnsi="Arial" w:cs="Arial"/>
                <w:spacing w:val="15"/>
                <w:sz w:val="18"/>
                <w:szCs w:val="18"/>
                <w:lang w:eastAsia="es-AR"/>
              </w:rPr>
              <w:br/>
              <w:t>MORA Roberto Daniel. --- Certificado Correcto. </w:t>
            </w:r>
            <w:hyperlink r:id="rId7" w:history="1">
              <w:r w:rsidRPr="00157CD7">
                <w:rPr>
                  <w:rFonts w:ascii="Arial" w:eastAsia="Times New Roman" w:hAnsi="Arial" w:cs="Arial"/>
                  <w:color w:val="FF6600"/>
                  <w:spacing w:val="15"/>
                  <w:sz w:val="18"/>
                  <w:szCs w:val="18"/>
                  <w:lang w:eastAsia="es-AR"/>
                </w:rPr>
                <w:t>Certificado</w:t>
              </w:r>
            </w:hyperlink>
            <w:r w:rsidRPr="00157CD7">
              <w:rPr>
                <w:rFonts w:ascii="Arial" w:eastAsia="Times New Roman" w:hAnsi="Arial" w:cs="Arial"/>
                <w:spacing w:val="15"/>
                <w:sz w:val="18"/>
                <w:szCs w:val="18"/>
                <w:lang w:eastAsia="es-AR"/>
              </w:rPr>
              <w:br/>
              <w:t>RICCITELLI Elio Horacio. --- Certificado Correcto. </w:t>
            </w:r>
            <w:hyperlink r:id="rId8" w:history="1">
              <w:r w:rsidRPr="00157CD7">
                <w:rPr>
                  <w:rFonts w:ascii="Arial" w:eastAsia="Times New Roman" w:hAnsi="Arial" w:cs="Arial"/>
                  <w:color w:val="FF6600"/>
                  <w:spacing w:val="15"/>
                  <w:sz w:val="18"/>
                  <w:szCs w:val="18"/>
                  <w:lang w:eastAsia="es-AR"/>
                </w:rPr>
                <w:t>Certificado</w:t>
              </w:r>
            </w:hyperlink>
          </w:p>
        </w:tc>
      </w:tr>
      <w:tr w:rsidR="00157CD7" w:rsidRPr="00157CD7" w:rsidTr="00157CD7">
        <w:tc>
          <w:tcPr>
            <w:tcW w:w="0" w:type="auto"/>
            <w:shd w:val="clear" w:color="auto" w:fill="auto"/>
            <w:tcMar>
              <w:top w:w="0" w:type="dxa"/>
              <w:left w:w="150" w:type="dxa"/>
              <w:bottom w:w="0" w:type="dxa"/>
              <w:right w:w="3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b/>
                <w:bCs/>
                <w:spacing w:val="15"/>
                <w:sz w:val="18"/>
                <w:szCs w:val="18"/>
                <w:lang w:eastAsia="es-AR"/>
              </w:rPr>
              <w:t>Firma Digital:</w:t>
            </w:r>
          </w:p>
        </w:tc>
        <w:tc>
          <w:tcPr>
            <w:tcW w:w="0" w:type="auto"/>
            <w:shd w:val="clear" w:color="auto" w:fill="auto"/>
            <w:tcMar>
              <w:top w:w="0" w:type="dxa"/>
              <w:left w:w="150" w:type="dxa"/>
              <w:bottom w:w="0" w:type="dxa"/>
              <w:right w:w="0"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spacing w:val="15"/>
                <w:sz w:val="18"/>
                <w:szCs w:val="18"/>
                <w:lang w:eastAsia="es-AR"/>
              </w:rPr>
            </w:pPr>
            <w:r w:rsidRPr="00157CD7">
              <w:rPr>
                <w:rFonts w:ascii="Arial" w:eastAsia="Times New Roman" w:hAnsi="Arial" w:cs="Arial"/>
                <w:noProof/>
                <w:spacing w:val="15"/>
                <w:sz w:val="18"/>
                <w:szCs w:val="18"/>
                <w:lang w:eastAsia="es-AR"/>
              </w:rPr>
              <w:drawing>
                <wp:inline distT="0" distB="0" distL="0" distR="0">
                  <wp:extent cx="307340" cy="307340"/>
                  <wp:effectExtent l="0" t="0" r="0" b="0"/>
                  <wp:docPr id="1" name="Imagen 1" descr="https://notificaciones.scba.gov.ar/images/cuca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Cucarda" descr="https://notificaciones.scba.gov.ar/images/cucard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Pr="00157CD7">
              <w:rPr>
                <w:rFonts w:ascii="Arial" w:eastAsia="Times New Roman" w:hAnsi="Arial" w:cs="Arial"/>
                <w:spacing w:val="15"/>
                <w:sz w:val="18"/>
                <w:szCs w:val="18"/>
                <w:lang w:eastAsia="es-AR"/>
              </w:rPr>
              <w:t> </w:t>
            </w:r>
            <w:r w:rsidRPr="00157CD7">
              <w:rPr>
                <w:rFonts w:ascii="Arial" w:eastAsia="Times New Roman" w:hAnsi="Arial" w:cs="Arial"/>
                <w:b/>
                <w:bCs/>
                <w:spacing w:val="15"/>
                <w:sz w:val="18"/>
                <w:szCs w:val="18"/>
                <w:lang w:eastAsia="es-AR"/>
              </w:rPr>
              <w:t>Verificación de firma digital:</w:t>
            </w:r>
            <w:r w:rsidRPr="00157CD7">
              <w:rPr>
                <w:rFonts w:ascii="Arial" w:eastAsia="Times New Roman" w:hAnsi="Arial" w:cs="Arial"/>
                <w:spacing w:val="15"/>
                <w:sz w:val="18"/>
                <w:szCs w:val="18"/>
                <w:lang w:eastAsia="es-AR"/>
              </w:rPr>
              <w:t> Firma válida</w:t>
            </w:r>
          </w:p>
        </w:tc>
      </w:tr>
    </w:tbl>
    <w:p w:rsidR="00157CD7" w:rsidRPr="00157CD7" w:rsidRDefault="00157CD7" w:rsidP="00157CD7">
      <w:pPr>
        <w:shd w:val="clear" w:color="auto" w:fill="FFFFFF"/>
        <w:spacing w:after="0" w:line="240" w:lineRule="auto"/>
        <w:ind w:left="57" w:right="1701"/>
        <w:jc w:val="both"/>
        <w:rPr>
          <w:rFonts w:ascii="Arial" w:eastAsia="Times New Roman" w:hAnsi="Arial" w:cs="Arial"/>
          <w:vanish/>
          <w:color w:val="555555"/>
          <w:sz w:val="24"/>
          <w:szCs w:val="24"/>
          <w:lang w:eastAsia="es-AR"/>
        </w:rPr>
      </w:pPr>
    </w:p>
    <w:tbl>
      <w:tblPr>
        <w:tblW w:w="11475" w:type="dxa"/>
        <w:tblCellMar>
          <w:top w:w="15" w:type="dxa"/>
          <w:left w:w="15" w:type="dxa"/>
          <w:bottom w:w="15" w:type="dxa"/>
          <w:right w:w="15" w:type="dxa"/>
        </w:tblCellMar>
        <w:tblLook w:val="04A0" w:firstRow="1" w:lastRow="0" w:firstColumn="1" w:lastColumn="0" w:noHBand="0" w:noVBand="1"/>
      </w:tblPr>
      <w:tblGrid>
        <w:gridCol w:w="11475"/>
      </w:tblGrid>
      <w:tr w:rsidR="00157CD7" w:rsidRPr="00157CD7" w:rsidTr="00157CD7">
        <w:tc>
          <w:tcPr>
            <w:tcW w:w="0" w:type="auto"/>
            <w:shd w:val="clear" w:color="auto" w:fill="2C4D76"/>
            <w:tcMar>
              <w:top w:w="75" w:type="dxa"/>
              <w:left w:w="225" w:type="dxa"/>
              <w:bottom w:w="75" w:type="dxa"/>
              <w:right w:w="45" w:type="dxa"/>
            </w:tcMar>
            <w:vAlign w:val="center"/>
            <w:hideMark/>
          </w:tcPr>
          <w:p w:rsidR="00157CD7" w:rsidRPr="00157CD7" w:rsidRDefault="00157CD7" w:rsidP="00157CD7">
            <w:pPr>
              <w:spacing w:before="45" w:after="45" w:line="240" w:lineRule="auto"/>
              <w:ind w:left="57" w:right="1701"/>
              <w:jc w:val="both"/>
              <w:rPr>
                <w:rFonts w:ascii="Arial" w:eastAsia="Times New Roman" w:hAnsi="Arial" w:cs="Arial"/>
                <w:b/>
                <w:bCs/>
                <w:caps/>
                <w:color w:val="FFFFFF"/>
                <w:spacing w:val="30"/>
                <w:sz w:val="18"/>
                <w:szCs w:val="18"/>
                <w:lang w:eastAsia="es-AR"/>
              </w:rPr>
            </w:pPr>
            <w:r w:rsidRPr="00157CD7">
              <w:rPr>
                <w:rFonts w:ascii="Arial" w:eastAsia="Times New Roman" w:hAnsi="Arial" w:cs="Arial"/>
                <w:b/>
                <w:bCs/>
                <w:caps/>
                <w:color w:val="FFFFFF"/>
                <w:spacing w:val="30"/>
                <w:sz w:val="18"/>
                <w:szCs w:val="18"/>
                <w:lang w:eastAsia="es-AR"/>
              </w:rPr>
              <w:t>TEXTO DE LA NOTIFICACION ELECTRONICA</w:t>
            </w:r>
          </w:p>
        </w:tc>
      </w:tr>
      <w:tr w:rsidR="00157CD7" w:rsidRPr="00157CD7" w:rsidTr="00157CD7">
        <w:tc>
          <w:tcPr>
            <w:tcW w:w="0" w:type="auto"/>
            <w:shd w:val="clear" w:color="auto" w:fill="auto"/>
            <w:tcMar>
              <w:top w:w="0" w:type="dxa"/>
              <w:left w:w="0" w:type="dxa"/>
              <w:bottom w:w="0" w:type="dxa"/>
              <w:right w:w="0" w:type="dxa"/>
            </w:tcMar>
            <w:vAlign w:val="center"/>
            <w:hideMark/>
          </w:tcPr>
          <w:p w:rsidR="00157CD7" w:rsidRPr="00157CD7" w:rsidRDefault="00157CD7" w:rsidP="00157CD7">
            <w:pPr>
              <w:spacing w:after="0" w:line="240" w:lineRule="atLeast"/>
              <w:ind w:left="57" w:right="1701"/>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La Cámara de Apelación en lo Contencioso Administrativo con asiento en Mar del Plata, de conformidad con lo establecido en el art. 8 del Anexo Único del Acuerdo S.C.B.A. 3975/20, en Acuerdo, pronuncia sentencia en la causa </w:t>
            </w:r>
            <w:r w:rsidRPr="00157CD7">
              <w:rPr>
                <w:rFonts w:ascii="Arial" w:eastAsia="Times New Roman" w:hAnsi="Arial" w:cs="Arial"/>
                <w:b/>
                <w:bCs/>
                <w:sz w:val="18"/>
                <w:szCs w:val="18"/>
                <w:lang w:eastAsia="es-AR"/>
              </w:rPr>
              <w:t>C-10541-MP1E</w:t>
            </w:r>
            <w:r w:rsidRPr="00157CD7">
              <w:rPr>
                <w:rFonts w:ascii="Arial" w:eastAsia="Times New Roman" w:hAnsi="Arial" w:cs="Arial"/>
                <w:sz w:val="18"/>
                <w:szCs w:val="18"/>
                <w:lang w:eastAsia="es-AR"/>
              </w:rPr>
              <w:t> </w:t>
            </w:r>
            <w:r w:rsidRPr="00157CD7">
              <w:rPr>
                <w:rFonts w:ascii="Arial" w:eastAsia="Times New Roman" w:hAnsi="Arial" w:cs="Arial"/>
                <w:b/>
                <w:bCs/>
                <w:sz w:val="18"/>
                <w:szCs w:val="18"/>
                <w:lang w:eastAsia="es-AR"/>
              </w:rPr>
              <w:t>"FRIGORÍFICO DE LA COSTA S.A. C/ A.R.B.A. S/ PRETENSIÓN ANULATORIA - OTROS JUICIOS" </w:t>
            </w:r>
            <w:r w:rsidRPr="00157CD7">
              <w:rPr>
                <w:rFonts w:ascii="Arial" w:eastAsia="Times New Roman" w:hAnsi="Arial" w:cs="Arial"/>
                <w:sz w:val="18"/>
                <w:szCs w:val="18"/>
                <w:lang w:eastAsia="es-AR"/>
              </w:rPr>
              <w:t>con arreglo al siguiente orden de votación según sorteo de ley: doctores </w:t>
            </w:r>
            <w:proofErr w:type="spellStart"/>
            <w:r w:rsidRPr="00157CD7">
              <w:rPr>
                <w:rFonts w:ascii="Arial" w:eastAsia="Times New Roman" w:hAnsi="Arial" w:cs="Arial"/>
                <w:b/>
                <w:bCs/>
                <w:sz w:val="18"/>
                <w:szCs w:val="18"/>
                <w:lang w:eastAsia="es-AR"/>
              </w:rPr>
              <w:t>Ucín</w:t>
            </w:r>
            <w:proofErr w:type="spellEnd"/>
            <w:r w:rsidRPr="00157CD7">
              <w:rPr>
                <w:rFonts w:ascii="Arial" w:eastAsia="Times New Roman" w:hAnsi="Arial" w:cs="Arial"/>
                <w:b/>
                <w:bCs/>
                <w:sz w:val="18"/>
                <w:szCs w:val="18"/>
                <w:lang w:eastAsia="es-AR"/>
              </w:rPr>
              <w:t>,</w:t>
            </w:r>
            <w:r w:rsidRPr="00157CD7">
              <w:rPr>
                <w:rFonts w:ascii="Arial" w:eastAsia="Times New Roman" w:hAnsi="Arial" w:cs="Arial"/>
                <w:sz w:val="18"/>
                <w:szCs w:val="18"/>
                <w:lang w:eastAsia="es-AR"/>
              </w:rPr>
              <w:t> </w:t>
            </w:r>
            <w:r w:rsidRPr="00157CD7">
              <w:rPr>
                <w:rFonts w:ascii="Arial" w:eastAsia="Times New Roman" w:hAnsi="Arial" w:cs="Arial"/>
                <w:b/>
                <w:bCs/>
                <w:sz w:val="18"/>
                <w:szCs w:val="18"/>
                <w:lang w:eastAsia="es-AR"/>
              </w:rPr>
              <w:t>Mora </w:t>
            </w:r>
            <w:r w:rsidRPr="00157CD7">
              <w:rPr>
                <w:rFonts w:ascii="Arial" w:eastAsia="Times New Roman" w:hAnsi="Arial" w:cs="Arial"/>
                <w:sz w:val="18"/>
                <w:szCs w:val="18"/>
                <w:lang w:eastAsia="es-AR"/>
              </w:rPr>
              <w:t>y </w:t>
            </w:r>
            <w:proofErr w:type="spellStart"/>
            <w:r w:rsidRPr="00157CD7">
              <w:rPr>
                <w:rFonts w:ascii="Arial" w:eastAsia="Times New Roman" w:hAnsi="Arial" w:cs="Arial"/>
                <w:b/>
                <w:bCs/>
                <w:sz w:val="18"/>
                <w:szCs w:val="18"/>
                <w:lang w:eastAsia="es-AR"/>
              </w:rPr>
              <w:t>Riccitelli</w:t>
            </w:r>
            <w:proofErr w:type="spellEnd"/>
            <w:r w:rsidRPr="00157CD7">
              <w:rPr>
                <w:rFonts w:ascii="Arial" w:eastAsia="Times New Roman" w:hAnsi="Arial" w:cs="Arial"/>
                <w:sz w:val="18"/>
                <w:szCs w:val="18"/>
                <w:lang w:eastAsia="es-AR"/>
              </w:rPr>
              <w:t>.</w:t>
            </w:r>
          </w:p>
          <w:p w:rsidR="00157CD7" w:rsidRPr="00157CD7" w:rsidRDefault="00157CD7" w:rsidP="00157CD7">
            <w:pPr>
              <w:spacing w:after="0" w:line="240" w:lineRule="atLeast"/>
              <w:ind w:left="57" w:right="1701"/>
              <w:jc w:val="both"/>
              <w:rPr>
                <w:rFonts w:ascii="Arial" w:eastAsia="Times New Roman" w:hAnsi="Arial" w:cs="Arial"/>
                <w:b/>
                <w:bCs/>
                <w:sz w:val="18"/>
                <w:szCs w:val="18"/>
                <w:lang w:eastAsia="es-AR"/>
              </w:rPr>
            </w:pPr>
            <w:r w:rsidRPr="00157CD7">
              <w:rPr>
                <w:rFonts w:ascii="Arial" w:eastAsia="Times New Roman" w:hAnsi="Arial" w:cs="Arial"/>
                <w:b/>
                <w:bCs/>
                <w:sz w:val="18"/>
                <w:szCs w:val="18"/>
                <w:lang w:eastAsia="es-AR"/>
              </w:rPr>
              <w:t>ANTECEDENTES</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 </w:t>
            </w:r>
            <w:r w:rsidRPr="00157CD7">
              <w:rPr>
                <w:rFonts w:ascii="Arial" w:eastAsia="Times New Roman" w:hAnsi="Arial" w:cs="Arial"/>
                <w:sz w:val="18"/>
                <w:szCs w:val="18"/>
                <w:lang w:eastAsia="es-AR"/>
              </w:rPr>
              <w:t xml:space="preserve">El día 11-11-2020 el titular del Juzgado de Primera Instancia en lo Contencioso Administrativo Nº 1 del Departamento Judicial Mar del Plata, previa declaración de la inconstitucionalidad del art. 8º de la Resolución Normativa Nº 7/14, anuló, por juzgarla ilegítima, la Disposición Delegada SEAJ N° 252/2018 del Gerente General de Técnica Tributaria y Catastral, de fecha 2-7-2018, por la cual este último rechazó (por extemporáneo) el recurso de reconsideración interpuesto por la firma Frigorífico de la Costa S.A. el 20-7-2017 contra la Disposición Delegada SEATYS N° 414/17 (cfr. arts. 12 inc. 2 del CCA, y 50 </w:t>
            </w:r>
            <w:proofErr w:type="spellStart"/>
            <w:r w:rsidRPr="00157CD7">
              <w:rPr>
                <w:rFonts w:ascii="Arial" w:eastAsia="Times New Roman" w:hAnsi="Arial" w:cs="Arial"/>
                <w:sz w:val="18"/>
                <w:szCs w:val="18"/>
                <w:lang w:eastAsia="es-AR"/>
              </w:rPr>
              <w:t>incs</w:t>
            </w:r>
            <w:proofErr w:type="spellEnd"/>
            <w:r w:rsidRPr="00157CD7">
              <w:rPr>
                <w:rFonts w:ascii="Arial" w:eastAsia="Times New Roman" w:hAnsi="Arial" w:cs="Arial"/>
                <w:sz w:val="18"/>
                <w:szCs w:val="18"/>
                <w:lang w:eastAsia="es-AR"/>
              </w:rPr>
              <w:t xml:space="preserve">. 1, 2 y 4 del CCA; art. 115 y concordantes del Código Fiscal (t.o.2011) y art. 69, 2º párrafo del </w:t>
            </w:r>
            <w:proofErr w:type="spellStart"/>
            <w:r w:rsidRPr="00157CD7">
              <w:rPr>
                <w:rFonts w:ascii="Arial" w:eastAsia="Times New Roman" w:hAnsi="Arial" w:cs="Arial"/>
                <w:sz w:val="18"/>
                <w:szCs w:val="18"/>
                <w:lang w:eastAsia="es-AR"/>
              </w:rPr>
              <w:t>dec</w:t>
            </w:r>
            <w:proofErr w:type="spellEnd"/>
            <w:r w:rsidRPr="00157CD7">
              <w:rPr>
                <w:rFonts w:ascii="Arial" w:eastAsia="Times New Roman" w:hAnsi="Arial" w:cs="Arial"/>
                <w:sz w:val="18"/>
                <w:szCs w:val="18"/>
                <w:lang w:eastAsia="es-AR"/>
              </w:rPr>
              <w:t>. ley 7647/70). Como consecuencia de ello, condenó a la Agencia de Recaudación de la Provincia de Buenos Aires a tratar al recurso de reconsideración oportunamente rechazado. Asimismo, impuso las costas a la demandada en su condición de vencida.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II. </w:t>
            </w:r>
            <w:r w:rsidRPr="00157CD7">
              <w:rPr>
                <w:rFonts w:ascii="Arial" w:eastAsia="Times New Roman" w:hAnsi="Arial" w:cs="Arial"/>
                <w:sz w:val="18"/>
                <w:szCs w:val="18"/>
                <w:lang w:eastAsia="es-AR"/>
              </w:rPr>
              <w:t>Contra ese pronunciamiento se alzó el Fisco mediante presentación electrónica del 30-11-2020, que mereció la réplica de la accionante de fecha 16-12-2020.</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III</w:t>
            </w:r>
            <w:r w:rsidRPr="00157CD7">
              <w:rPr>
                <w:rFonts w:ascii="Arial" w:eastAsia="Times New Roman" w:hAnsi="Arial" w:cs="Arial"/>
                <w:sz w:val="18"/>
                <w:szCs w:val="18"/>
                <w:lang w:eastAsia="es-AR"/>
              </w:rPr>
              <w:t>. Recibidas las actuaciones en esta Alzada y puestos los autos al Acuerdo para dictar sentencia, corresponde plantear y votar la siguiente:</w:t>
            </w:r>
          </w:p>
          <w:p w:rsidR="00157CD7" w:rsidRPr="00157CD7" w:rsidRDefault="00157CD7" w:rsidP="00157CD7">
            <w:pPr>
              <w:spacing w:after="0" w:line="240" w:lineRule="atLeast"/>
              <w:ind w:left="57" w:right="1701" w:firstLine="840"/>
              <w:jc w:val="both"/>
              <w:rPr>
                <w:rFonts w:ascii="Arial" w:eastAsia="Times New Roman" w:hAnsi="Arial" w:cs="Arial"/>
                <w:b/>
                <w:bCs/>
                <w:sz w:val="18"/>
                <w:szCs w:val="18"/>
                <w:lang w:eastAsia="es-AR"/>
              </w:rPr>
            </w:pPr>
            <w:r w:rsidRPr="00157CD7">
              <w:rPr>
                <w:rFonts w:ascii="Arial" w:eastAsia="Times New Roman" w:hAnsi="Arial" w:cs="Arial"/>
                <w:b/>
                <w:bCs/>
                <w:sz w:val="18"/>
                <w:szCs w:val="18"/>
                <w:lang w:eastAsia="es-AR"/>
              </w:rPr>
              <w:t>CUESTIÓN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¿Es fundado el recurso?</w:t>
            </w:r>
          </w:p>
          <w:p w:rsidR="00157CD7" w:rsidRPr="00157CD7" w:rsidRDefault="00157CD7" w:rsidP="00157CD7">
            <w:pPr>
              <w:spacing w:after="0" w:line="240" w:lineRule="atLeast"/>
              <w:ind w:left="57" w:right="1701" w:firstLine="840"/>
              <w:jc w:val="both"/>
              <w:rPr>
                <w:rFonts w:ascii="Arial" w:eastAsia="Times New Roman" w:hAnsi="Arial" w:cs="Arial"/>
                <w:b/>
                <w:bCs/>
                <w:sz w:val="18"/>
                <w:szCs w:val="18"/>
                <w:lang w:eastAsia="es-AR"/>
              </w:rPr>
            </w:pPr>
            <w:r w:rsidRPr="00157CD7">
              <w:rPr>
                <w:rFonts w:ascii="Arial" w:eastAsia="Times New Roman" w:hAnsi="Arial" w:cs="Arial"/>
                <w:b/>
                <w:bCs/>
                <w:sz w:val="18"/>
                <w:szCs w:val="18"/>
                <w:lang w:eastAsia="es-AR"/>
              </w:rPr>
              <w:t xml:space="preserve">A la cuestión planteada, el señor Juez doctor </w:t>
            </w:r>
            <w:proofErr w:type="spellStart"/>
            <w:r w:rsidRPr="00157CD7">
              <w:rPr>
                <w:rFonts w:ascii="Arial" w:eastAsia="Times New Roman" w:hAnsi="Arial" w:cs="Arial"/>
                <w:b/>
                <w:bCs/>
                <w:sz w:val="18"/>
                <w:szCs w:val="18"/>
                <w:lang w:eastAsia="es-AR"/>
              </w:rPr>
              <w:t>Ucín</w:t>
            </w:r>
            <w:proofErr w:type="spellEnd"/>
            <w:r w:rsidRPr="00157CD7">
              <w:rPr>
                <w:rFonts w:ascii="Arial" w:eastAsia="Times New Roman" w:hAnsi="Arial" w:cs="Arial"/>
                <w:b/>
                <w:bCs/>
                <w:sz w:val="18"/>
                <w:szCs w:val="18"/>
                <w:lang w:eastAsia="es-AR"/>
              </w:rPr>
              <w:t xml:space="preserve"> dijo: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I.1. </w:t>
            </w:r>
            <w:r w:rsidRPr="00157CD7">
              <w:rPr>
                <w:rFonts w:ascii="Arial" w:eastAsia="Times New Roman" w:hAnsi="Arial" w:cs="Arial"/>
                <w:sz w:val="18"/>
                <w:szCs w:val="18"/>
                <w:lang w:eastAsia="es-AR"/>
              </w:rPr>
              <w:t>El juez de grado receptó la demanda incoada por la firma Frigorífico de la Costa S.A. con el alcance indicado en los Antecedentes de este pronunciamiento.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En ese orden, el citado magistrado, luego de relevar las posturas expuestas por ambas partes y las constancias de la causa que consideró útiles, precisó que la resolución de la controversia de autos requiere determinar cuál de las distintas notificaciones practicadas en la instancia administrativa resultó válida a los fines del cómputo del plazo para </w:t>
            </w:r>
            <w:r w:rsidRPr="00157CD7">
              <w:rPr>
                <w:rFonts w:ascii="Arial" w:eastAsia="Times New Roman" w:hAnsi="Arial" w:cs="Arial"/>
                <w:sz w:val="18"/>
                <w:szCs w:val="18"/>
                <w:lang w:eastAsia="es-AR"/>
              </w:rPr>
              <w:lastRenderedPageBreak/>
              <w:t>recurrir, esto es, la efectuada digitalmente al domicilio fiscal electrónico el día 2-6-2017 (invocada por el Fisco) o la última dirigida al domicilio fiscal físico (alegada por la empresa actora). Pues ello permitiría definir si el recurso de reconsideración interpuesto por Frigorífico de la Costa S.A. con fecha 20-10-2017 contra la Disposición Delegada SEATYS Nº 414/17 resultó -o no- extemporáneo.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En ese marco, transcribió las disposiciones del ordenamiento fiscal que regulan lo atinente a los domicilios fiscales y las eventuales notificaciones de los actos administrativos practicadas en aquellos (cfr. arts. 32, 33 y 162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y destacó que ninguna de esas normas establece cuál es la comunicación que debe prevalecer cuando la Administración notificó un mismo acto en diferentes domicilios. Luego, señaló que la respuesta a ese interrogante se encuentra en el art. 8º de la Resolución Normativa Nº 7/14 dictada por la autoridad de aplicación (cfr. arts. 33 y 162 del Código Fiscal, t. o. 2011).</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Señalado lo anterior, puntualizó que la presente controversia giraba en punto a lo dispuesto por el citado art. 8º, cuya constitucionalidad cuestionó la parte actora.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Y, a ese respecto, consideró que la mentada previsión reglamentaria, en cuanto estableció que en caso de multiplicidad de notificaciones el acto se considerará anoticiado a partir de la fecha de la primera de esas comunicaciones, infringió el derecho de defensa del administrado (cfr. art. 15 de la Constitución provincial), el cual comprende la garantía del debido proceso adjetivo como recaudo esencial del acto administrativo. En su parecer, la solución prevista en la norma resultó arbitraria, pues la notificación de los actos administrativos constituye un presupuesto indispensable para la existencia del consentimiento y debe surgir en forma categórica para considerarla debidamente efectuada a efectos de garantizar una adecuada defensa.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Seguidamente, sostuvo que la disposición colocó al contribuyente en un estado de incertidumbre tal que le impidió conocer cuál es el plazo del que disponía para articular el recurso de reconsideración. Puntualizó que si la Administración tomó la decisión unilateral de cursar la notificación a distintos domicilios (lo cual se produjo en fechas sucesivas), "pareciera que no tuvo inconvenientes en esperar el tiempo que ello le insume", pues "de lo contrario podría haber optado por dirigirlas todas juntas o bien utilizar la que considerara que correspondía".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 ello añadió que, en tales condiciones, el mecanismo establecido en el citado art. 8º de la reglamentación </w:t>
            </w:r>
            <w:r w:rsidRPr="00157CD7">
              <w:rPr>
                <w:rFonts w:ascii="Arial" w:eastAsia="Times New Roman" w:hAnsi="Arial" w:cs="Arial"/>
                <w:i/>
                <w:iCs/>
                <w:sz w:val="18"/>
                <w:szCs w:val="18"/>
                <w:lang w:eastAsia="es-AR"/>
              </w:rPr>
              <w:t>sub examine</w:t>
            </w:r>
            <w:r w:rsidRPr="00157CD7">
              <w:rPr>
                <w:rFonts w:ascii="Arial" w:eastAsia="Times New Roman" w:hAnsi="Arial" w:cs="Arial"/>
                <w:sz w:val="18"/>
                <w:szCs w:val="18"/>
                <w:lang w:eastAsia="es-AR"/>
              </w:rPr>
              <w:t xml:space="preserve"> resultaba irrazonable pues el fin perseguido por la norma, a saber "iniciar una etapa superadora en la gestión llevada adelante por esta Agencia de Recaudación, con apoyo en el uso de nuevas y modernas herramientas informáticas a través de las cuales no sólo se garantiza la comunicación efectiva y se preserva la </w:t>
            </w:r>
            <w:proofErr w:type="spellStart"/>
            <w:r w:rsidRPr="00157CD7">
              <w:rPr>
                <w:rFonts w:ascii="Arial" w:eastAsia="Times New Roman" w:hAnsi="Arial" w:cs="Arial"/>
                <w:sz w:val="18"/>
                <w:szCs w:val="18"/>
                <w:lang w:eastAsia="es-AR"/>
              </w:rPr>
              <w:t>fehaciencia</w:t>
            </w:r>
            <w:proofErr w:type="spellEnd"/>
            <w:r w:rsidRPr="00157CD7">
              <w:rPr>
                <w:rFonts w:ascii="Arial" w:eastAsia="Times New Roman" w:hAnsi="Arial" w:cs="Arial"/>
                <w:sz w:val="18"/>
                <w:szCs w:val="18"/>
                <w:lang w:eastAsia="es-AR"/>
              </w:rPr>
              <w:t xml:space="preserve"> de las notificaciones sino que, además, se logra la reducción de los costos en papel, impresión y envío postal", no luce apropiado o adeudado con el medio empleado.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Recordó que el derecho de defensa es una garantía constitucional que no puede ser alterada ni suprimida mediante ninguna reglamentación, so pena de incurrir en un exceso de la potestad reglamentaria. En ese sentido, juzgó que, en el caso, existió un abuso de esa atribución por parte de la autoridad de aplicación, desde que la referida previsión jurídica alteró la certidumbre que debe existir en aspectos tan delicados como el concerniente al plazo para interponer los recursos.</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Con todo, concluyó que la preferencia que el art. 8º de la Resolución Normativa Nº 7/14 asignó a la primera notificación no resultó razonable y, por tanto, lesionó el principio constitucional de derecho de defensa en el procedimiento administrativo, sin causa objetiva que lo justifique (cfr. art. 15 de la Constitución provincial). Por tanto, declaró su inconstitucionalidad para el caso concreto.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Seguidamente, luego de citar lo resuelto por la Sala II del Tribunal Fiscal de Apelación de la Ciudad Autónoma de Buenos Aires en la causa N° 2360-414.804 "</w:t>
            </w:r>
            <w:proofErr w:type="spellStart"/>
            <w:r w:rsidRPr="00157CD7">
              <w:rPr>
                <w:rFonts w:ascii="Arial" w:eastAsia="Times New Roman" w:hAnsi="Arial" w:cs="Arial"/>
                <w:sz w:val="18"/>
                <w:szCs w:val="18"/>
                <w:lang w:eastAsia="es-AR"/>
              </w:rPr>
              <w:t>Akzo</w:t>
            </w:r>
            <w:proofErr w:type="spellEnd"/>
            <w:r w:rsidRPr="00157CD7">
              <w:rPr>
                <w:rFonts w:ascii="Arial" w:eastAsia="Times New Roman" w:hAnsi="Arial" w:cs="Arial"/>
                <w:sz w:val="18"/>
                <w:szCs w:val="18"/>
                <w:lang w:eastAsia="es-AR"/>
              </w:rPr>
              <w:t xml:space="preserve"> Nobel Argentina S.A", tomó como parámetro la notificación del día 29-6-2017, efectuada en el domicilio de la ruta Nº 2 km. 341,5 de Coronel Vidal y concluyó que el Frigorífico de la Costa S.A recurrió la Disposición Delegada SEATYS Nº 414/17 dentro del plazo previsto en el art. 115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De allí que dejó sin efecto la Disposición Delegada SEAJ N° 252/2018 de fecha 2-7-201, mediante la cual la Autoridad tributaria rechazó por extemporáneo el recurso de reconsideración interpuesto por aquella firma el 20-7-2017 contra la Disposición antes mencionada, y ordenó a la Agencia de Recaudación de la Provincia de Buenos Aires que tramite nuevamente la mentada impugnación, la cual debía ser considerada deducida en término.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w:t>
            </w:r>
            <w:r w:rsidRPr="00157CD7">
              <w:rPr>
                <w:rFonts w:ascii="Arial" w:eastAsia="Times New Roman" w:hAnsi="Arial" w:cs="Arial"/>
                <w:sz w:val="18"/>
                <w:szCs w:val="18"/>
                <w:lang w:eastAsia="es-AR"/>
              </w:rPr>
              <w:t> Mediante presentación electrónica de fecha 30-11-2020, la parte demandada interpuso recurso de apelación fundado.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2.1. </w:t>
            </w:r>
            <w:r w:rsidRPr="00157CD7">
              <w:rPr>
                <w:rFonts w:ascii="Arial" w:eastAsia="Times New Roman" w:hAnsi="Arial" w:cs="Arial"/>
                <w:sz w:val="18"/>
                <w:szCs w:val="18"/>
                <w:lang w:eastAsia="es-AR"/>
              </w:rPr>
              <w:t>Inicialmente, defendió la legitimidad de la reglamentación que el juez de grado consideró arbitraria. Afirmó, al respecto, que el fallo fue dogmático, en tanto en su decisión, de suma gravedad institucional y </w:t>
            </w:r>
            <w:r w:rsidRPr="00157CD7">
              <w:rPr>
                <w:rFonts w:ascii="Arial" w:eastAsia="Times New Roman" w:hAnsi="Arial" w:cs="Arial"/>
                <w:b/>
                <w:bCs/>
                <w:sz w:val="18"/>
                <w:szCs w:val="18"/>
                <w:lang w:eastAsia="es-AR"/>
              </w:rPr>
              <w:t>ultima ratio</w:t>
            </w:r>
            <w:r w:rsidRPr="00157CD7">
              <w:rPr>
                <w:rFonts w:ascii="Arial" w:eastAsia="Times New Roman" w:hAnsi="Arial" w:cs="Arial"/>
                <w:sz w:val="18"/>
                <w:szCs w:val="18"/>
                <w:lang w:eastAsia="es-AR"/>
              </w:rPr>
              <w:t>, no especificó concretamente las razones que sustentaron la descalificación constitucional de la norma</w:t>
            </w:r>
            <w:r w:rsidRPr="00157CD7">
              <w:rPr>
                <w:rFonts w:ascii="Arial" w:eastAsia="Times New Roman" w:hAnsi="Arial" w:cs="Arial"/>
                <w:b/>
                <w:bCs/>
                <w:sz w:val="18"/>
                <w:szCs w:val="18"/>
                <w:lang w:eastAsia="es-AR"/>
              </w:rPr>
              <w:t>, </w:t>
            </w:r>
            <w:r w:rsidRPr="00157CD7">
              <w:rPr>
                <w:rFonts w:ascii="Arial" w:eastAsia="Times New Roman" w:hAnsi="Arial" w:cs="Arial"/>
                <w:sz w:val="18"/>
                <w:szCs w:val="18"/>
                <w:lang w:eastAsia="es-AR"/>
              </w:rPr>
              <w:t>a la vez que tampoco surgía acreditada una afectación grave y concreta de los derechos de la firma actora.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Agregó que el argumento en el que el </w:t>
            </w:r>
            <w:r w:rsidRPr="00157CD7">
              <w:rPr>
                <w:rFonts w:ascii="Arial" w:eastAsia="Times New Roman" w:hAnsi="Arial" w:cs="Arial"/>
                <w:b/>
                <w:bCs/>
                <w:sz w:val="18"/>
                <w:szCs w:val="18"/>
                <w:lang w:eastAsia="es-AR"/>
              </w:rPr>
              <w:t>a quo</w:t>
            </w:r>
            <w:r w:rsidRPr="00157CD7">
              <w:rPr>
                <w:rFonts w:ascii="Arial" w:eastAsia="Times New Roman" w:hAnsi="Arial" w:cs="Arial"/>
                <w:sz w:val="18"/>
                <w:szCs w:val="18"/>
                <w:lang w:eastAsia="es-AR"/>
              </w:rPr>
              <w:t> apuntaló su fallo fue aparente, toda vez que ni siquiera indicó cómo se impidió al contribuyente el ejercicio de su defensa o porqué habría de primar una solución diferente a la prevista en la reglamentación. Concluyó que no se verificaba, en el caso, la incompatibilidad normativa que habilita la declaración de inconstitucionalidad, y sin que para ello resulte suficiente -en su parecer- la genérica invocación del derecho de defensa.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lastRenderedPageBreak/>
              <w:t>Asimismo, afirmó que la solución reglamentaria desautorizada en autos era la que mejor se ajustaba a la naturaleza de los actos bajo examen, a la celeridad que debe primar en el procedimiento administrativo y a las previsiones legales en la materia. En ese sentido, destacó que la notificación a la que se refiere el art. 115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y a partir de la cual se inicia el cómputo del plazo de quince días para la interposición del recurso, no puede ser otra que la primera que recibió el administrado. Y ello, pues la solución señalada fue expresamente establecida en la normativa, que no previó otra modalidad para computar el plazo; a la vez que, de fracasar las ulteriores notificaciones cursadas, debería recurrirse a la primigenia.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2.2. </w:t>
            </w:r>
            <w:r w:rsidRPr="00157CD7">
              <w:rPr>
                <w:rFonts w:ascii="Arial" w:eastAsia="Times New Roman" w:hAnsi="Arial" w:cs="Arial"/>
                <w:sz w:val="18"/>
                <w:szCs w:val="18"/>
                <w:lang w:eastAsia="es-AR"/>
              </w:rPr>
              <w:t>Por otro lado, adujo que no fue puesta en entredicho la validez de la notificación en el domicilio fiscal electrónico del actor. Señaló que, por el contrario, el accionante no acreditó imposibilidad alguna para acceder a la notificación efectuada bajo esa modalidad. También sostuvo que el propio magistrado reconoció la validez de la comunicación electrónica, el mecanismo empleado y su reglamentación general.</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Seguidamente, descartó que, en la especie, se configure una situación de incertidumbre. En su parecer, la utilización de diversos medios de comunicación mal podría provocar falta de certeza respecto del momento de la notificación, la validez del acto </w:t>
            </w:r>
            <w:proofErr w:type="spellStart"/>
            <w:r w:rsidRPr="00157CD7">
              <w:rPr>
                <w:rFonts w:ascii="Arial" w:eastAsia="Times New Roman" w:hAnsi="Arial" w:cs="Arial"/>
                <w:sz w:val="18"/>
                <w:szCs w:val="18"/>
                <w:lang w:eastAsia="es-AR"/>
              </w:rPr>
              <w:t>notificatorio</w:t>
            </w:r>
            <w:proofErr w:type="spellEnd"/>
            <w:r w:rsidRPr="00157CD7">
              <w:rPr>
                <w:rFonts w:ascii="Arial" w:eastAsia="Times New Roman" w:hAnsi="Arial" w:cs="Arial"/>
                <w:sz w:val="18"/>
                <w:szCs w:val="18"/>
                <w:lang w:eastAsia="es-AR"/>
              </w:rPr>
              <w:t xml:space="preserve"> o sus efectos. Máxime -agregó-, cuando el art. 8º de la Resolución Normativa N° 7/14 establece la solución aplicable al caso en forma precisa, sin margen de duda.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punto a la afectación del derecho de defensa del contribuyente, atribuyó a la firma actora la responsabilidad por la presentación extemporánea del recurso de reconsideración, dado que omitió controlar su domicilio fiscal electrónico o bien desconoció las normas regulatorias de los aspectos tributarios de su actividad o, en última instancia, careció de asesoramiento profesional adecuado a la envergadura de su empresa comercial, circunstancias que, en todo caso, no resultan imputables a la Administración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modo concordante, afirmó que mal podría declararse la inconstitucionalidad de una norma reglamentaria, ora por causa del incumplimiento por parte del contribuyente de sus obligaciones fiscales (como el ingreso periódico a su domicilio fiscal electrónico), ora en razón de haber especulado con la presentación del recurso a la espera de la recepción de otras notificaciones, con prescindencia de lo normado en la Resolución Normativa nº 7/14.</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Por último, rechazó la existencia de arbitrariedad por falta de adecuación entre la solución prevista en la norma y los fines y derechos involucrados en el presente, toda vez que -según lo señaló- el magistrado de grado no brindó concretos argumentos para sustentar ese razonamiento.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3.</w:t>
            </w:r>
            <w:r w:rsidRPr="00157CD7">
              <w:rPr>
                <w:rFonts w:ascii="Arial" w:eastAsia="Times New Roman" w:hAnsi="Arial" w:cs="Arial"/>
                <w:sz w:val="18"/>
                <w:szCs w:val="18"/>
                <w:lang w:eastAsia="es-AR"/>
              </w:rPr>
              <w:t> En su réplica al memorial, parte demandante solicitó la declaración de deserción de la pieza recursiva, controvirtió los argumentos allí invocados y solicitó su rechazo (cfr. presentación electrónica de fecha 16-12-2020).</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II.</w:t>
            </w:r>
            <w:r w:rsidRPr="00157CD7">
              <w:rPr>
                <w:rFonts w:ascii="Arial" w:eastAsia="Times New Roman" w:hAnsi="Arial" w:cs="Arial"/>
                <w:sz w:val="18"/>
                <w:szCs w:val="18"/>
                <w:lang w:eastAsia="es-AR"/>
              </w:rPr>
              <w:t> El recurso no prospera.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1. </w:t>
            </w:r>
            <w:r w:rsidRPr="00157CD7">
              <w:rPr>
                <w:rFonts w:ascii="Arial" w:eastAsia="Times New Roman" w:hAnsi="Arial" w:cs="Arial"/>
                <w:sz w:val="18"/>
                <w:szCs w:val="18"/>
                <w:lang w:eastAsia="es-AR"/>
              </w:rPr>
              <w:t>El magistrado de la instancia anterior enmarcó su análisis en el régimen establecido en los arts. 32, 33 y 162 del Código Fiscal, y la reglamentación que, en lo concerniente al domicilio fiscal electrónico, estableció la Resolución Normativa de la Agencia de Recaudación de la Provincia de Buenos Aires N° 7/14 en su art. 8, con las modificaciones introducidas por su similar N° 40/14. Y, en tal esquema regulatorio, ponderó si, en el caso, el inicio del plazo previsto en el art. 115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debía computarse a partir de la notificación de la Disposición Delegada SEATYS n° 414/17 en el domicilio fiscal electrónico del actor con fecha 2-6-2017 (tal como lo postuló el Fisco con sustento en lo previsto en el tantas veces citado en el art. 8° de la Resolución Normativa N° 14/17), o si (como lo sostuvo la parte actora, a partir de la tacha de inconstitucionalidad de esa norma) el </w:t>
            </w:r>
            <w:proofErr w:type="spellStart"/>
            <w:r w:rsidRPr="00157CD7">
              <w:rPr>
                <w:rFonts w:ascii="Arial" w:eastAsia="Times New Roman" w:hAnsi="Arial" w:cs="Arial"/>
                <w:b/>
                <w:bCs/>
                <w:sz w:val="18"/>
                <w:szCs w:val="18"/>
                <w:lang w:eastAsia="es-AR"/>
              </w:rPr>
              <w:t>dies</w:t>
            </w:r>
            <w:proofErr w:type="spellEnd"/>
            <w:r w:rsidRPr="00157CD7">
              <w:rPr>
                <w:rFonts w:ascii="Arial" w:eastAsia="Times New Roman" w:hAnsi="Arial" w:cs="Arial"/>
                <w:b/>
                <w:bCs/>
                <w:sz w:val="18"/>
                <w:szCs w:val="18"/>
                <w:lang w:eastAsia="es-AR"/>
              </w:rPr>
              <w:t xml:space="preserve"> a quo</w:t>
            </w:r>
            <w:r w:rsidRPr="00157CD7">
              <w:rPr>
                <w:rFonts w:ascii="Arial" w:eastAsia="Times New Roman" w:hAnsi="Arial" w:cs="Arial"/>
                <w:sz w:val="18"/>
                <w:szCs w:val="18"/>
                <w:lang w:eastAsia="es-AR"/>
              </w:rPr>
              <w:t> de aquel término era el de la fecha de la última notificación cursada por la Agencia recaudatoria al domicilio fiscal físico sito en la Ruta 2 Km. 341,5 de Coronel Vidal el día 29-6-2017.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ese contexto, juzgó que la previsión del art. 8° de la Resolución Normativa N° 14/17 resultó lesiva del derecho de defensa del administrado, toda vez que la multiplicidad de notificaciones que, respecto de la Disposición Delegada SEATYS n° 414/17, fueron cursadas a diferentes domicilios, físicos y electrónico, del contribuyente en forma sucesiva, sumieron a este en un estado de incertidumbre respecto del cómputo del plazo para impugnar ese acto administrativo. De allí entendió que la disposición era irrazonable en tanto el fin perseguido no lucía adecuado o proporcionado con el medio utilizado para ello; y se verificaba, en el caso, una infracción al principio constitucional del derecho de defensa en el procedimiento administrativo sin causa objetiva que lo justifique.</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2.1. </w:t>
            </w:r>
            <w:r w:rsidRPr="00157CD7">
              <w:rPr>
                <w:rFonts w:ascii="Arial" w:eastAsia="Times New Roman" w:hAnsi="Arial" w:cs="Arial"/>
                <w:sz w:val="18"/>
                <w:szCs w:val="18"/>
                <w:lang w:eastAsia="es-AR"/>
              </w:rPr>
              <w:t xml:space="preserve">El Fisco centró sus defensas, básicamente, en el sostenimiento de la validez constitucional del art. 8° de la Disposición Normativa N° 7/14, aunque sin introducir, en punto a esa cuestión particular, argumentos diferentes a los ensayados al contestar la demanda (cfr. presentación de fecha 19-6-2019). Además, calificó de dogmático el pronunciamiento desde que -conforme su criterio- el juzgador no identificó cómo fue afectado el derecho de defensa de la accionante, ni cuál fue la concreta incompatibilidad entre la norma reputada inconstitucional y el ordenamiento </w:t>
            </w:r>
            <w:proofErr w:type="spellStart"/>
            <w:r w:rsidRPr="00157CD7">
              <w:rPr>
                <w:rFonts w:ascii="Arial" w:eastAsia="Times New Roman" w:hAnsi="Arial" w:cs="Arial"/>
                <w:sz w:val="18"/>
                <w:szCs w:val="18"/>
                <w:lang w:eastAsia="es-AR"/>
              </w:rPr>
              <w:t>supralegal</w:t>
            </w:r>
            <w:proofErr w:type="spellEnd"/>
            <w:r w:rsidRPr="00157CD7">
              <w:rPr>
                <w:rFonts w:ascii="Arial" w:eastAsia="Times New Roman" w:hAnsi="Arial" w:cs="Arial"/>
                <w:sz w:val="18"/>
                <w:szCs w:val="18"/>
                <w:lang w:eastAsia="es-AR"/>
              </w:rPr>
              <w:t>. Por último, entendió que la solución prevista en la citada norma reglamentaria resultó precisa y clara, y mal pudo provocar incertidumbre en el actor.</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2.2. </w:t>
            </w:r>
            <w:r w:rsidRPr="00157CD7">
              <w:rPr>
                <w:rFonts w:ascii="Arial" w:eastAsia="Times New Roman" w:hAnsi="Arial" w:cs="Arial"/>
                <w:sz w:val="18"/>
                <w:szCs w:val="18"/>
                <w:lang w:eastAsia="es-AR"/>
              </w:rPr>
              <w:t>En tal contexto, y en lo relativo a la invocada insuficiencia argumental del pronunciamiento puesto en entredicho, cabe anticipar que tal planteo resulta inatendible.</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Huelga señalar que la afectación del derecho de defensa de la firma accionante (el cual, según lo manifestado por el quejoso, no justificó el magistrado) constituyó uno de los ejes centrales en derredor del cual se sustentó la sentencia. En ese orden, el </w:t>
            </w:r>
            <w:r w:rsidRPr="00157CD7">
              <w:rPr>
                <w:rFonts w:ascii="Arial" w:eastAsia="Times New Roman" w:hAnsi="Arial" w:cs="Arial"/>
                <w:b/>
                <w:bCs/>
                <w:sz w:val="18"/>
                <w:szCs w:val="18"/>
                <w:lang w:eastAsia="es-AR"/>
              </w:rPr>
              <w:t>a quo</w:t>
            </w:r>
            <w:r w:rsidRPr="00157CD7">
              <w:rPr>
                <w:rFonts w:ascii="Arial" w:eastAsia="Times New Roman" w:hAnsi="Arial" w:cs="Arial"/>
                <w:sz w:val="18"/>
                <w:szCs w:val="18"/>
                <w:lang w:eastAsia="es-AR"/>
              </w:rPr>
              <w:t xml:space="preserve"> tuvo presente que el argumento esgrimido por la Administración para rechazar, por extemporáneo, </w:t>
            </w:r>
            <w:r w:rsidRPr="00157CD7">
              <w:rPr>
                <w:rFonts w:ascii="Arial" w:eastAsia="Times New Roman" w:hAnsi="Arial" w:cs="Arial"/>
                <w:sz w:val="18"/>
                <w:szCs w:val="18"/>
                <w:lang w:eastAsia="es-AR"/>
              </w:rPr>
              <w:lastRenderedPageBreak/>
              <w:t>el recurso de reconsideración articulado por la firma Frigorífico de la Costa S.A. contra la Disposición Delegada SEATYS N° 414/17 fue, precisamente, que el cómputo del plazo de quince días previsto en el art. 115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se hizo a partir de la notificación digital en el domicilio electrónico del acto administrativo, por haber ocurrido ello primero en el tiempo (cfr. art. 8° de la Resolución Normativa N° 14/17).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El juez de la instancia anterior reputó inconstitucional la citada norma pues, su aplicación en el caso, fue la causa determinante de la desestimación de la impugnación planteada por la firma actora contra un acto administrativo que le causó gravamen; y, con ello, frustró el ejercicio de su legítimo derecho de defensa constitucional. De allí que, con apego a la línea argumental del fallo, la desestimación por extemporaneidad del recurso administrativo se erigió en un obstáculo insalvable para la aquí actora y para poder continuar con su pretensión impugnatoria.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Tampoco asiste razón al recurrente en su afirmación de que el </w:t>
            </w:r>
            <w:r w:rsidRPr="00157CD7">
              <w:rPr>
                <w:rFonts w:ascii="Arial" w:eastAsia="Times New Roman" w:hAnsi="Arial" w:cs="Arial"/>
                <w:b/>
                <w:bCs/>
                <w:sz w:val="18"/>
                <w:szCs w:val="18"/>
                <w:lang w:eastAsia="es-AR"/>
              </w:rPr>
              <w:t>a quo </w:t>
            </w:r>
            <w:r w:rsidRPr="00157CD7">
              <w:rPr>
                <w:rFonts w:ascii="Arial" w:eastAsia="Times New Roman" w:hAnsi="Arial" w:cs="Arial"/>
                <w:sz w:val="18"/>
                <w:szCs w:val="18"/>
                <w:lang w:eastAsia="es-AR"/>
              </w:rPr>
              <w:t>no indicó cómo la aplicación del citado art. 8° de la reglamentación puesta en entredicho impidió a la empresa ejercer su defensa en el caso concreto, ni porqué debe primar una solución diversa a la prevista en esa normativa.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Por fuera de que, en la especie, el rechazo del recurso administrativo por extemporáneo, en principio, clausuraría toda posible impugnación posterior, el magistrado tuvo presente que la Agencia recaudatoria cursó diversas notificaciones, bajo distintas modalidades, y juzgó que tal proceder colocó al contribuyente en una situación de incertidumbre respecto del plazo disponible para recurrir.</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Destacó, en tal sentido, que esas diferentes comunicaciones, concretadas de modo sucesivo y dentro de un plazo de quince días, podrían haberse efectuado en un único momento o bien mediante un solo mecanismo. Y en ese particular marco de análisis, ponderó irrazonable lo regulado el art. 8° de la Resolución Normativa Nº 7/14 en su aplicación al caso, en cuanto priorizó la notificación recibida en primer término (la verificada digitalmente) a los fines impugnatorios.</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Pues -conforme lo estimó-, resultaba más ajustado a la tutela del derecho de defensa del administrado que el cómputo del término para impugnar el acto anoticiado se efectúe a partir de la fecha de la última notificación recibida por el contribuyente.</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modo que las razones brindadas por el magistrado para sustentar, en la especie, la afectación del derecho de defensa del contribuyente como resultado, en particular, de la aplicación al caso la solución prevista en el art. 8° de la Resolución Normativa N° 7/14, ponen en evidencia una argumentación que, por fuera de su acierto o error (y sin perjuicio de lo que se señalará en el apartado siguiente), no luce dogmática ni carente de sustento tal como lo adujo el Fisco en su apelación. Lo que sella la suerte adversa del agravio planteado en tal sentido.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2.3. </w:t>
            </w:r>
            <w:r w:rsidRPr="00157CD7">
              <w:rPr>
                <w:rFonts w:ascii="Arial" w:eastAsia="Times New Roman" w:hAnsi="Arial" w:cs="Arial"/>
                <w:sz w:val="18"/>
                <w:szCs w:val="18"/>
                <w:lang w:eastAsia="es-AR"/>
              </w:rPr>
              <w:t>Por otra parte, y en lo que concierne a la descalificación constitucional efectuada por el juez de primera instancia, puesta en entredicho por la parte recurrente, resulta pertinente formular las consideraciones que siguen.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modo inicial, cabe reseñar las siguientes normas del ordenamiento fiscal que regulan lo relativo a la constitución, funcionamiento y efectos del domicilio fiscal electrónico. Así, el art. 33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lo definió como "</w:t>
            </w:r>
            <w:r w:rsidRPr="00157CD7">
              <w:rPr>
                <w:rFonts w:ascii="Arial" w:eastAsia="Times New Roman" w:hAnsi="Arial" w:cs="Arial"/>
                <w:i/>
                <w:iCs/>
                <w:sz w:val="18"/>
                <w:szCs w:val="18"/>
                <w:lang w:eastAsia="es-AR"/>
              </w:rPr>
              <w:t>un sitio informático personalizado, registrado por los contribuyentes y responsables para el cumplimiento de sus obligaciones fiscales y para la entrega o recepción de comunicaciones de cualquier naturaleza</w:t>
            </w:r>
            <w:r w:rsidRPr="00157CD7">
              <w:rPr>
                <w:rFonts w:ascii="Arial" w:eastAsia="Times New Roman" w:hAnsi="Arial" w:cs="Arial"/>
                <w:sz w:val="18"/>
                <w:szCs w:val="18"/>
                <w:lang w:eastAsia="es-AR"/>
              </w:rPr>
              <w:t>". En cuanto aquí interesa, la norma dispuso que ese domicilio produce, en el ámbito administrativo y judicial, los efectos del domicilio fiscal constituido, siendo válidas y vinculantes todas las notificaciones, emplazamientos y comunicaciones que allí se practiquen. Por otro lado, delegó en la autoridad de aplicación la reglamentación de todas las cuestiones atinentes a su implementación y su constitución obligatoria respecto de aquellos contribuyentes o responsables que evidencien acceso al equipamiento informático necesario.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Por su parte, el artículo 162 del mismo texto normativo, en su parte pertinente, estatuye que </w:t>
            </w:r>
            <w:r w:rsidRPr="00157CD7">
              <w:rPr>
                <w:rFonts w:ascii="Arial" w:eastAsia="Times New Roman" w:hAnsi="Arial" w:cs="Arial"/>
                <w:i/>
                <w:iCs/>
                <w:sz w:val="18"/>
                <w:szCs w:val="18"/>
                <w:lang w:eastAsia="es-AR"/>
              </w:rPr>
              <w:t>"Las citaciones, notificaciones, intimaciones de pago, etc., serán practicadas en cualquiera de las siguientes formas: .d) Por comunicación informática, en la forma y condiciones que determine la reglamentación. La notificación se considerará perfeccionada con la puesta a disposición del archivo o registro que la contiene, en el domicilio fiscal electrónico del contribuyente o responsable"</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ese contexto, el art. 10 de la Resolución Normativa N° 7/14 estableció que </w:t>
            </w:r>
            <w:r w:rsidRPr="00157CD7">
              <w:rPr>
                <w:rFonts w:ascii="Arial" w:eastAsia="Times New Roman" w:hAnsi="Arial" w:cs="Arial"/>
                <w:i/>
                <w:iCs/>
                <w:sz w:val="18"/>
                <w:szCs w:val="18"/>
                <w:lang w:eastAsia="es-AR"/>
              </w:rPr>
              <w:t>"el domicilio fiscal electrónico previsto en el artículo 33 del Código Fiscal -Ley Nº 10.397 (Texto ordenado 2011) y modificatorias- quedará obligatoriamente constituido respecto de los siguientes sujetos: a. Contribuyentes del Impuesto sobre los Ingresos Brutos y responsables de dicho tributo, comprendidos en el inciso 2) del artículo 21 del citado Código. b. Agentes de recaudación de los gravámenes respecto de los cuales la Agencia de Recaudación resulta Autoridad de Aplicación"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Desde la entrada en vigencia de la citada Resolución (15-3-2014, cfr. art. 22) la firma accionante tuvo un domicilio fiscal electrónico coexistente con el domicilio fiscal previsto en el art. 32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 Así, y conforme lo regula ese ordenamiento, el Fisco pudo practicar válidamente citaciones, notificaciones, intimaciones de pago -entre otras medidas- en cualquiera de esos domicilios, con idéntico efecto jurídico (cfr. art. 162).</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Asimismo, corresponde destacar que del expediente nº 2360-0242934/2015 (agregado sin acumular, cfr. fs. 50), surge que: </w:t>
            </w:r>
            <w:r w:rsidRPr="00157CD7">
              <w:rPr>
                <w:rFonts w:ascii="Arial" w:eastAsia="Times New Roman" w:hAnsi="Arial" w:cs="Arial"/>
                <w:b/>
                <w:bCs/>
                <w:sz w:val="18"/>
                <w:szCs w:val="18"/>
                <w:lang w:eastAsia="es-AR"/>
              </w:rPr>
              <w:t>(i)</w:t>
            </w:r>
            <w:r w:rsidRPr="00157CD7">
              <w:rPr>
                <w:rFonts w:ascii="Arial" w:eastAsia="Times New Roman" w:hAnsi="Arial" w:cs="Arial"/>
                <w:sz w:val="18"/>
                <w:szCs w:val="18"/>
                <w:lang w:eastAsia="es-AR"/>
              </w:rPr>
              <w:t> las actas de comprobación y requerimiento de fs. 10/18, 45/46, 53/54, 56/60, 101/102 se labraron en el domicilio de Frigorífico de la Costa S.A. de la calle Alvarado 2815 5° Piso de Mar del Plata; </w:t>
            </w:r>
            <w:r w:rsidRPr="00157CD7">
              <w:rPr>
                <w:rFonts w:ascii="Arial" w:eastAsia="Times New Roman" w:hAnsi="Arial" w:cs="Arial"/>
                <w:b/>
                <w:bCs/>
                <w:sz w:val="18"/>
                <w:szCs w:val="18"/>
                <w:lang w:eastAsia="es-AR"/>
              </w:rPr>
              <w:t>(ii)</w:t>
            </w:r>
            <w:r w:rsidRPr="00157CD7">
              <w:rPr>
                <w:rFonts w:ascii="Arial" w:eastAsia="Times New Roman" w:hAnsi="Arial" w:cs="Arial"/>
                <w:sz w:val="18"/>
                <w:szCs w:val="18"/>
                <w:lang w:eastAsia="es-AR"/>
              </w:rPr>
              <w:t> en el anexo integrante del acta R-54 n° 010130889 obrante a fs. 50, se dejó constancia que el domicilio fiscal de la empresa es la calle Alvarado 2815, su correo electrónico </w:t>
            </w:r>
            <w:hyperlink r:id="rId10" w:history="1">
              <w:r w:rsidRPr="00157CD7">
                <w:rPr>
                  <w:rFonts w:ascii="Arial" w:eastAsia="Times New Roman" w:hAnsi="Arial" w:cs="Arial"/>
                  <w:color w:val="FF6600"/>
                  <w:sz w:val="18"/>
                  <w:szCs w:val="18"/>
                  <w:u w:val="single"/>
                  <w:lang w:eastAsia="es-AR"/>
                </w:rPr>
                <w:t>frigorificodelacostasa@speedy.com.ar</w:t>
              </w:r>
            </w:hyperlink>
            <w:r w:rsidRPr="00157CD7">
              <w:rPr>
                <w:rFonts w:ascii="Arial" w:eastAsia="Times New Roman" w:hAnsi="Arial" w:cs="Arial"/>
                <w:sz w:val="18"/>
                <w:szCs w:val="18"/>
                <w:lang w:eastAsia="es-AR"/>
              </w:rPr>
              <w:t xml:space="preserve">, y el domicilio real alternativo el de Ruta 2 Km. 341,5 de </w:t>
            </w:r>
            <w:r w:rsidRPr="00157CD7">
              <w:rPr>
                <w:rFonts w:ascii="Arial" w:eastAsia="Times New Roman" w:hAnsi="Arial" w:cs="Arial"/>
                <w:sz w:val="18"/>
                <w:szCs w:val="18"/>
                <w:lang w:eastAsia="es-AR"/>
              </w:rPr>
              <w:lastRenderedPageBreak/>
              <w:t>Coronel Vidal (planta frigorífica); </w:t>
            </w:r>
            <w:r w:rsidRPr="00157CD7">
              <w:rPr>
                <w:rFonts w:ascii="Arial" w:eastAsia="Times New Roman" w:hAnsi="Arial" w:cs="Arial"/>
                <w:b/>
                <w:bCs/>
                <w:sz w:val="18"/>
                <w:szCs w:val="18"/>
                <w:lang w:eastAsia="es-AR"/>
              </w:rPr>
              <w:t>(iii)</w:t>
            </w:r>
            <w:r w:rsidRPr="00157CD7">
              <w:rPr>
                <w:rFonts w:ascii="Arial" w:eastAsia="Times New Roman" w:hAnsi="Arial" w:cs="Arial"/>
                <w:sz w:val="18"/>
                <w:szCs w:val="18"/>
                <w:lang w:eastAsia="es-AR"/>
              </w:rPr>
              <w:t xml:space="preserve"> a fs. 93/95 y 100 se encuentran glosadas notificaciones de liquidación de diferencias y comunicado institucional de plan de regularización de deudas, practicadas el 2-9-2016 en el domicilio fiscal de la actora, pero de la calle </w:t>
            </w:r>
            <w:proofErr w:type="spellStart"/>
            <w:r w:rsidRPr="00157CD7">
              <w:rPr>
                <w:rFonts w:ascii="Arial" w:eastAsia="Times New Roman" w:hAnsi="Arial" w:cs="Arial"/>
                <w:sz w:val="18"/>
                <w:szCs w:val="18"/>
                <w:lang w:eastAsia="es-AR"/>
              </w:rPr>
              <w:t>Daireaux</w:t>
            </w:r>
            <w:proofErr w:type="spellEnd"/>
            <w:r w:rsidRPr="00157CD7">
              <w:rPr>
                <w:rFonts w:ascii="Arial" w:eastAsia="Times New Roman" w:hAnsi="Arial" w:cs="Arial"/>
                <w:sz w:val="18"/>
                <w:szCs w:val="18"/>
                <w:lang w:eastAsia="es-AR"/>
              </w:rPr>
              <w:t xml:space="preserve"> N° 550 de Mar del Plata, el cual coincide con el consignado en el informe final de auditoría de fs. 103/111vta.; </w:t>
            </w:r>
            <w:r w:rsidRPr="00157CD7">
              <w:rPr>
                <w:rFonts w:ascii="Arial" w:eastAsia="Times New Roman" w:hAnsi="Arial" w:cs="Arial"/>
                <w:b/>
                <w:bCs/>
                <w:sz w:val="18"/>
                <w:szCs w:val="18"/>
                <w:lang w:eastAsia="es-AR"/>
              </w:rPr>
              <w:t>(iv)</w:t>
            </w:r>
            <w:r w:rsidRPr="00157CD7">
              <w:rPr>
                <w:rFonts w:ascii="Arial" w:eastAsia="Times New Roman" w:hAnsi="Arial" w:cs="Arial"/>
                <w:sz w:val="18"/>
                <w:szCs w:val="18"/>
                <w:lang w:eastAsia="es-AR"/>
              </w:rPr>
              <w:t xml:space="preserve"> la Disposición N° 6202/16 -que estableció el inicio del procedimiento determinativo sumarial (cfr. art. 1°)- se notificó al contribuyente el 11-11-2016 en el domicilio de calle </w:t>
            </w:r>
            <w:proofErr w:type="spellStart"/>
            <w:r w:rsidRPr="00157CD7">
              <w:rPr>
                <w:rFonts w:ascii="Arial" w:eastAsia="Times New Roman" w:hAnsi="Arial" w:cs="Arial"/>
                <w:sz w:val="18"/>
                <w:szCs w:val="18"/>
                <w:lang w:eastAsia="es-AR"/>
              </w:rPr>
              <w:t>Daireux</w:t>
            </w:r>
            <w:proofErr w:type="spellEnd"/>
            <w:r w:rsidRPr="00157CD7">
              <w:rPr>
                <w:rFonts w:ascii="Arial" w:eastAsia="Times New Roman" w:hAnsi="Arial" w:cs="Arial"/>
                <w:sz w:val="18"/>
                <w:szCs w:val="18"/>
                <w:lang w:eastAsia="es-AR"/>
              </w:rPr>
              <w:t xml:space="preserve"> N° 550 (v. fs. 158) y en el de calle Alvarado 2815 Piso 5° (v. fs. 159), el 4-11-2016 en el domicilio fiscal electrónico (v. constancia de materialidad de fs. 160) y el 17-11-2016 en el domicilio de Ruta 2 Km. 341,5 de Coronel Vidal (v. fs. 161); </w:t>
            </w:r>
            <w:r w:rsidRPr="00157CD7">
              <w:rPr>
                <w:rFonts w:ascii="Arial" w:eastAsia="Times New Roman" w:hAnsi="Arial" w:cs="Arial"/>
                <w:b/>
                <w:bCs/>
                <w:sz w:val="18"/>
                <w:szCs w:val="18"/>
                <w:lang w:eastAsia="es-AR"/>
              </w:rPr>
              <w:t>(v)</w:t>
            </w:r>
            <w:r w:rsidRPr="00157CD7">
              <w:rPr>
                <w:rFonts w:ascii="Arial" w:eastAsia="Times New Roman" w:hAnsi="Arial" w:cs="Arial"/>
                <w:sz w:val="18"/>
                <w:szCs w:val="18"/>
                <w:lang w:eastAsia="es-AR"/>
              </w:rPr>
              <w:t> en la presentación de fecha 2-12-2016 (v. fs. 1 del Alcance 1 del expediente 2360-0242934-2015) el apoderado de la firma actora consignó en el encabezamiento su domicilio real (Ruta 2 km. 341.5 de Coronel Vidal) y en el punto I "Objeto" de su presentación, manifestó que la Disposición N° 6202/16 le fue notificada el 11-11-2016; </w:t>
            </w:r>
            <w:r w:rsidRPr="00157CD7">
              <w:rPr>
                <w:rFonts w:ascii="Arial" w:eastAsia="Times New Roman" w:hAnsi="Arial" w:cs="Arial"/>
                <w:b/>
                <w:bCs/>
                <w:sz w:val="18"/>
                <w:szCs w:val="18"/>
                <w:lang w:eastAsia="es-AR"/>
              </w:rPr>
              <w:t>(vi)</w:t>
            </w:r>
            <w:r w:rsidRPr="00157CD7">
              <w:rPr>
                <w:rFonts w:ascii="Arial" w:eastAsia="Times New Roman" w:hAnsi="Arial" w:cs="Arial"/>
                <w:sz w:val="18"/>
                <w:szCs w:val="18"/>
                <w:lang w:eastAsia="es-AR"/>
              </w:rPr>
              <w:t xml:space="preserve"> la Disposición N° 345/2016 -que ordenó la apertura a prueba del procedimiento determinativo sumarial (cfr. art. 1°)- se notificó al contribuyente el 20-01-2017 en su domicilio fiscal electrónico (v. constancia de materialidad de fs. 173 del Alcance 1), el 15-2-2017 en el domicilio de calle </w:t>
            </w:r>
            <w:proofErr w:type="spellStart"/>
            <w:r w:rsidRPr="00157CD7">
              <w:rPr>
                <w:rFonts w:ascii="Arial" w:eastAsia="Times New Roman" w:hAnsi="Arial" w:cs="Arial"/>
                <w:sz w:val="18"/>
                <w:szCs w:val="18"/>
                <w:lang w:eastAsia="es-AR"/>
              </w:rPr>
              <w:t>Daireux</w:t>
            </w:r>
            <w:proofErr w:type="spellEnd"/>
            <w:r w:rsidRPr="00157CD7">
              <w:rPr>
                <w:rFonts w:ascii="Arial" w:eastAsia="Times New Roman" w:hAnsi="Arial" w:cs="Arial"/>
                <w:sz w:val="18"/>
                <w:szCs w:val="18"/>
                <w:lang w:eastAsia="es-AR"/>
              </w:rPr>
              <w:t xml:space="preserve"> N° 550 (v. fs. 201 del Alcance 1), el 20-2-2017 en el de calle Alvarado 2815 Piso 5° (v. fs. 198 del Alcance 1), y el 22-2-2017 en el domicilio de Ruta 2 Km. 341,5 de Coronel Vidal (v. fs. 202 del Alcance); </w:t>
            </w:r>
            <w:r w:rsidRPr="00157CD7">
              <w:rPr>
                <w:rFonts w:ascii="Arial" w:eastAsia="Times New Roman" w:hAnsi="Arial" w:cs="Arial"/>
                <w:b/>
                <w:bCs/>
                <w:sz w:val="18"/>
                <w:szCs w:val="18"/>
                <w:lang w:eastAsia="es-AR"/>
              </w:rPr>
              <w:t>(vii)</w:t>
            </w:r>
            <w:r w:rsidRPr="00157CD7">
              <w:rPr>
                <w:rFonts w:ascii="Arial" w:eastAsia="Times New Roman" w:hAnsi="Arial" w:cs="Arial"/>
                <w:sz w:val="18"/>
                <w:szCs w:val="18"/>
                <w:lang w:eastAsia="es-AR"/>
              </w:rPr>
              <w:t xml:space="preserve"> finalmente, la Disposición N° 414/2017 se notificó a la actora el día 02-06-2017 en su domicilio fiscal electrónico (v. constancia de materialidad de fs. 247 del Alcance 1), el 15-6-2017 en el domicilio de calle Alvarado 2815 Piso 5° (v. fs. 248 del Alcance 1), el 19-6-2017 en el calle </w:t>
            </w:r>
            <w:proofErr w:type="spellStart"/>
            <w:r w:rsidRPr="00157CD7">
              <w:rPr>
                <w:rFonts w:ascii="Arial" w:eastAsia="Times New Roman" w:hAnsi="Arial" w:cs="Arial"/>
                <w:sz w:val="18"/>
                <w:szCs w:val="18"/>
                <w:lang w:eastAsia="es-AR"/>
              </w:rPr>
              <w:t>Daireux</w:t>
            </w:r>
            <w:proofErr w:type="spellEnd"/>
            <w:r w:rsidRPr="00157CD7">
              <w:rPr>
                <w:rFonts w:ascii="Arial" w:eastAsia="Times New Roman" w:hAnsi="Arial" w:cs="Arial"/>
                <w:sz w:val="18"/>
                <w:szCs w:val="18"/>
                <w:lang w:eastAsia="es-AR"/>
              </w:rPr>
              <w:t xml:space="preserve"> N° 550 (v. fs. 244 del Alcance), y el 29-6-2017 en el domicilio de Ruta 2 Km. 341,5 de Coronel Vidal (v. fs. 250 del Alcance 1).</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De la breve reseña efectuada se advierte que A.R.B.A. notificó a la firma Frigorífico de la Costa S.A. la Disposición Nº 414/2017 en dos domicilios fiscales diferentes (calles </w:t>
            </w:r>
            <w:proofErr w:type="spellStart"/>
            <w:r w:rsidRPr="00157CD7">
              <w:rPr>
                <w:rFonts w:ascii="Arial" w:eastAsia="Times New Roman" w:hAnsi="Arial" w:cs="Arial"/>
                <w:sz w:val="18"/>
                <w:szCs w:val="18"/>
                <w:lang w:eastAsia="es-AR"/>
              </w:rPr>
              <w:t>Daireaux</w:t>
            </w:r>
            <w:proofErr w:type="spellEnd"/>
            <w:r w:rsidRPr="00157CD7">
              <w:rPr>
                <w:rFonts w:ascii="Arial" w:eastAsia="Times New Roman" w:hAnsi="Arial" w:cs="Arial"/>
                <w:sz w:val="18"/>
                <w:szCs w:val="18"/>
                <w:lang w:eastAsia="es-AR"/>
              </w:rPr>
              <w:t xml:space="preserve"> 550 y Alvarado 2815 5º Piso, ambos de Mar del Plata), en un domicilio real (Ruta 2 Km. 341,5 de Coronel Vidal) y en su domicilio fiscal electrónico, en el período comprendido entre el 2-6-2017 y el 29-6-2017.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2.4. </w:t>
            </w:r>
            <w:r w:rsidRPr="00157CD7">
              <w:rPr>
                <w:rFonts w:ascii="Arial" w:eastAsia="Times New Roman" w:hAnsi="Arial" w:cs="Arial"/>
                <w:sz w:val="18"/>
                <w:szCs w:val="18"/>
                <w:lang w:eastAsia="es-AR"/>
              </w:rPr>
              <w:t>Reseñado lo anterior, coincido, en términos generales, con la conclusión del </w:t>
            </w:r>
            <w:r w:rsidRPr="00157CD7">
              <w:rPr>
                <w:rFonts w:ascii="Arial" w:eastAsia="Times New Roman" w:hAnsi="Arial" w:cs="Arial"/>
                <w:b/>
                <w:bCs/>
                <w:sz w:val="18"/>
                <w:szCs w:val="18"/>
                <w:lang w:eastAsia="es-AR"/>
              </w:rPr>
              <w:t>a quo</w:t>
            </w:r>
            <w:r w:rsidRPr="00157CD7">
              <w:rPr>
                <w:rFonts w:ascii="Arial" w:eastAsia="Times New Roman" w:hAnsi="Arial" w:cs="Arial"/>
                <w:sz w:val="18"/>
                <w:szCs w:val="18"/>
                <w:lang w:eastAsia="es-AR"/>
              </w:rPr>
              <w:t> en cuanto a que el artículo 8, segundo párrafo, de la Resolución Normativa N° 7/14, en su aplicación en caso, no supera satisfactoriamente el test de razonabilidad de la medida allí dispuesta, en tanto parámetro de control jurisdiccional de las reglamentaciones de los derechos fundamentales involucrados (arts. 28 y 33 Constitución Nacional).</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efecto, la cuestión central a esclarecer reside en discernir si el criterio adoptado por la citada normativa, para fundar la limitación que allí se contempla, encierra una justificación objetiva y plausible que la sustente en la especie. En otras palabras, se trata del escrutinio de la razonabilidad de la pauta empleada por la regulación estatal para establecer una regulación de la índole de la objetada en punto a la finalidad que procura alcanzar.</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Cabe recordar, en ese orden, que el principio de razonabilidad marca el límite al que se halla sometido para su validez constitucional el ejercicio de la potestad pública y reclama la existencia de circunstancias justificantes, fin público, adecuación a él del medio utilizado para su obtención y ausencia de inequidad manifiesta (cfr. S.C.B.A. doc. causas I. 2026, "</w:t>
            </w:r>
            <w:proofErr w:type="spellStart"/>
            <w:r w:rsidRPr="00157CD7">
              <w:rPr>
                <w:rFonts w:ascii="Arial" w:eastAsia="Times New Roman" w:hAnsi="Arial" w:cs="Arial"/>
                <w:sz w:val="18"/>
                <w:szCs w:val="18"/>
                <w:lang w:eastAsia="es-AR"/>
              </w:rPr>
              <w:t>Busada</w:t>
            </w:r>
            <w:proofErr w:type="spellEnd"/>
            <w:r w:rsidRPr="00157CD7">
              <w:rPr>
                <w:rFonts w:ascii="Arial" w:eastAsia="Times New Roman" w:hAnsi="Arial" w:cs="Arial"/>
                <w:sz w:val="18"/>
                <w:szCs w:val="18"/>
                <w:lang w:eastAsia="es-AR"/>
              </w:rPr>
              <w:t xml:space="preserve">", sebo. del 10-05-2000; I. 2110, "Iriarte </w:t>
            </w:r>
            <w:proofErr w:type="spellStart"/>
            <w:r w:rsidRPr="00157CD7">
              <w:rPr>
                <w:rFonts w:ascii="Arial" w:eastAsia="Times New Roman" w:hAnsi="Arial" w:cs="Arial"/>
                <w:sz w:val="18"/>
                <w:szCs w:val="18"/>
                <w:lang w:eastAsia="es-AR"/>
              </w:rPr>
              <w:t>Mandoz</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06-10-2004; I. 2260, "F.E.B.",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27-02-2008; I. 2175, "Torregrosa Lastra",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15-12-2010; I. 2522, "</w:t>
            </w:r>
            <w:proofErr w:type="spellStart"/>
            <w:r w:rsidRPr="00157CD7">
              <w:rPr>
                <w:rFonts w:ascii="Arial" w:eastAsia="Times New Roman" w:hAnsi="Arial" w:cs="Arial"/>
                <w:sz w:val="18"/>
                <w:szCs w:val="18"/>
                <w:lang w:eastAsia="es-AR"/>
              </w:rPr>
              <w:t>Mendivid</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21-11-2011; I. 2445, "</w:t>
            </w:r>
            <w:proofErr w:type="spellStart"/>
            <w:r w:rsidRPr="00157CD7">
              <w:rPr>
                <w:rFonts w:ascii="Arial" w:eastAsia="Times New Roman" w:hAnsi="Arial" w:cs="Arial"/>
                <w:sz w:val="18"/>
                <w:szCs w:val="18"/>
                <w:lang w:eastAsia="es-AR"/>
              </w:rPr>
              <w:t>Lunghi</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02-10-2012; I. 2888, "Chicote";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12-06-2013; B. 59.562, "Reuter",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15-06-2016; A. 71.027, "Giuliano",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15-02-2017; B. 59.961, "Gonzalez",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16-08-2017; A. 72.979, "</w:t>
            </w:r>
            <w:proofErr w:type="spellStart"/>
            <w:r w:rsidRPr="00157CD7">
              <w:rPr>
                <w:rFonts w:ascii="Arial" w:eastAsia="Times New Roman" w:hAnsi="Arial" w:cs="Arial"/>
                <w:sz w:val="18"/>
                <w:szCs w:val="18"/>
                <w:lang w:eastAsia="es-AR"/>
              </w:rPr>
              <w:t>Bertolaza</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29-08-2017; I. 74.078, "Cámara Argentina de Empresas de Fuegos Artificiales",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19-09-2018; A 74.134, "</w:t>
            </w:r>
            <w:proofErr w:type="spellStart"/>
            <w:r w:rsidRPr="00157CD7">
              <w:rPr>
                <w:rFonts w:ascii="Arial" w:eastAsia="Times New Roman" w:hAnsi="Arial" w:cs="Arial"/>
                <w:sz w:val="18"/>
                <w:szCs w:val="18"/>
                <w:lang w:eastAsia="es-AR"/>
              </w:rPr>
              <w:t>Fregonese</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29-05-2019; entre muchas otras). De allí que las limitaciones a los derechos han de basarse en la razón y no ser arbitrarias ni caprichosas, vale decir, que deberán estar impuestas por la necesidad y proporcionadas al fin propuesto (cfr. S.C.B.A. doc. causas I. 3353, "Valentín",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30-XI-2011; I. 3552, "</w:t>
            </w:r>
            <w:proofErr w:type="spellStart"/>
            <w:r w:rsidRPr="00157CD7">
              <w:rPr>
                <w:rFonts w:ascii="Arial" w:eastAsia="Times New Roman" w:hAnsi="Arial" w:cs="Arial"/>
                <w:sz w:val="18"/>
                <w:szCs w:val="18"/>
                <w:lang w:eastAsia="es-AR"/>
              </w:rPr>
              <w:t>Salvemini</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del 21-XII-2012; I. 2215, "Asociación Testigos de Jehová",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del 14-06-2017).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tal contexto, es menester precisar, inicialmente, el propósito que la norma pretende alcanzar y la adecuación de los medios instituidos para ello. Esto es, determinar que la medida reguladora de derechos fundamentales tenga un fin legítimo y socialmente relevante y que, además, sea apta o idónea para alcanzarlo.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 ese respecto, resulta claro de la propia motivación de mentada reglamentación cuál es la finalidad perseguida con su dictado. Pues conforme allí se consigna</w:t>
            </w:r>
            <w:proofErr w:type="gramStart"/>
            <w:r w:rsidRPr="00157CD7">
              <w:rPr>
                <w:rFonts w:ascii="Arial" w:eastAsia="Times New Roman" w:hAnsi="Arial" w:cs="Arial"/>
                <w:sz w:val="18"/>
                <w:szCs w:val="18"/>
                <w:lang w:eastAsia="es-AR"/>
              </w:rPr>
              <w:t>, </w:t>
            </w:r>
            <w:r w:rsidRPr="00157CD7">
              <w:rPr>
                <w:rFonts w:ascii="Arial" w:eastAsia="Times New Roman" w:hAnsi="Arial" w:cs="Arial"/>
                <w:i/>
                <w:iCs/>
                <w:sz w:val="18"/>
                <w:szCs w:val="18"/>
                <w:lang w:eastAsia="es-AR"/>
              </w:rPr>
              <w:t>"</w:t>
            </w:r>
            <w:proofErr w:type="gramEnd"/>
            <w:r w:rsidRPr="00157CD7">
              <w:rPr>
                <w:rFonts w:ascii="Arial" w:eastAsia="Times New Roman" w:hAnsi="Arial" w:cs="Arial"/>
                <w:i/>
                <w:iCs/>
                <w:sz w:val="18"/>
                <w:szCs w:val="18"/>
                <w:lang w:eastAsia="es-AR"/>
              </w:rPr>
              <w:t xml:space="preserve">. </w:t>
            </w:r>
            <w:proofErr w:type="gramStart"/>
            <w:r w:rsidRPr="00157CD7">
              <w:rPr>
                <w:rFonts w:ascii="Arial" w:eastAsia="Times New Roman" w:hAnsi="Arial" w:cs="Arial"/>
                <w:i/>
                <w:iCs/>
                <w:sz w:val="18"/>
                <w:szCs w:val="18"/>
                <w:lang w:eastAsia="es-AR"/>
              </w:rPr>
              <w:t>en</w:t>
            </w:r>
            <w:proofErr w:type="gramEnd"/>
            <w:r w:rsidRPr="00157CD7">
              <w:rPr>
                <w:rFonts w:ascii="Arial" w:eastAsia="Times New Roman" w:hAnsi="Arial" w:cs="Arial"/>
                <w:i/>
                <w:iCs/>
                <w:sz w:val="18"/>
                <w:szCs w:val="18"/>
                <w:lang w:eastAsia="es-AR"/>
              </w:rPr>
              <w:t xml:space="preserve"> el tiempo transcurrido desde el dictado de la referida reglamentación[Disposición Normativa n°127/08], la aplicación de la tecnología se ha extendido notablemente, siendo en la actualidad masiva y recurrente su utilización como canal de comunicación"</w:t>
            </w:r>
            <w:r w:rsidRPr="00157CD7">
              <w:rPr>
                <w:rFonts w:ascii="Arial" w:eastAsia="Times New Roman" w:hAnsi="Arial" w:cs="Arial"/>
                <w:sz w:val="18"/>
                <w:szCs w:val="18"/>
                <w:lang w:eastAsia="es-AR"/>
              </w:rPr>
              <w:t> (considerando quinto), que </w:t>
            </w:r>
            <w:r w:rsidRPr="00157CD7">
              <w:rPr>
                <w:rFonts w:ascii="Arial" w:eastAsia="Times New Roman" w:hAnsi="Arial" w:cs="Arial"/>
                <w:i/>
                <w:iCs/>
                <w:sz w:val="18"/>
                <w:szCs w:val="18"/>
                <w:lang w:eastAsia="es-AR"/>
              </w:rPr>
              <w:t>". las medidas referenciadas precedentemente permitirán iniciar una etapa superadora en la gestión llevada adelante por esta Agencia de Recaudación, con apoyo en el uso de nuevas y modernas herramientas informáticas a través de las cuales no sólo se garantiza la comunicación efectiva y se preserva la </w:t>
            </w:r>
            <w:proofErr w:type="spellStart"/>
            <w:r w:rsidRPr="00157CD7">
              <w:rPr>
                <w:rFonts w:ascii="Arial" w:eastAsia="Times New Roman" w:hAnsi="Arial" w:cs="Arial"/>
                <w:i/>
                <w:iCs/>
                <w:sz w:val="18"/>
                <w:szCs w:val="18"/>
                <w:lang w:eastAsia="es-AR"/>
              </w:rPr>
              <w:t>fehaciencia</w:t>
            </w:r>
            <w:proofErr w:type="spellEnd"/>
            <w:r w:rsidRPr="00157CD7">
              <w:rPr>
                <w:rFonts w:ascii="Arial" w:eastAsia="Times New Roman" w:hAnsi="Arial" w:cs="Arial"/>
                <w:i/>
                <w:iCs/>
                <w:sz w:val="18"/>
                <w:szCs w:val="18"/>
                <w:lang w:eastAsia="es-AR"/>
              </w:rPr>
              <w:t> de las notificaciones sino que, además, se logra la reducción de los costos en papel, impresión y envío postal que conllevan los medios tradicionales de comunicación, logrando de esta forma un efecto positivo sobre el ahorro de recursos fiscales y el cuidado y protección del medio ambiente"</w:t>
            </w:r>
            <w:r w:rsidRPr="00157CD7">
              <w:rPr>
                <w:rFonts w:ascii="Arial" w:eastAsia="Times New Roman" w:hAnsi="Arial" w:cs="Arial"/>
                <w:sz w:val="18"/>
                <w:szCs w:val="18"/>
                <w:lang w:eastAsia="es-AR"/>
              </w:rPr>
              <w:t> (considerando décimo primero)</w:t>
            </w:r>
            <w:r w:rsidRPr="00157CD7">
              <w:rPr>
                <w:rFonts w:ascii="Arial" w:eastAsia="Times New Roman" w:hAnsi="Arial" w:cs="Arial"/>
                <w:i/>
                <w:iCs/>
                <w:sz w:val="18"/>
                <w:szCs w:val="18"/>
                <w:lang w:eastAsia="es-AR"/>
              </w:rPr>
              <w:t> </w:t>
            </w:r>
            <w:r w:rsidRPr="00157CD7">
              <w:rPr>
                <w:rFonts w:ascii="Arial" w:eastAsia="Times New Roman" w:hAnsi="Arial" w:cs="Arial"/>
                <w:sz w:val="18"/>
                <w:szCs w:val="18"/>
                <w:lang w:eastAsia="es-AR"/>
              </w:rPr>
              <w:t>y que</w:t>
            </w:r>
            <w:r w:rsidRPr="00157CD7">
              <w:rPr>
                <w:rFonts w:ascii="Arial" w:eastAsia="Times New Roman" w:hAnsi="Arial" w:cs="Arial"/>
                <w:i/>
                <w:iCs/>
                <w:sz w:val="18"/>
                <w:szCs w:val="18"/>
                <w:lang w:eastAsia="es-AR"/>
              </w:rPr>
              <w:t>, ".</w:t>
            </w:r>
            <w:r w:rsidRPr="00157CD7">
              <w:rPr>
                <w:rFonts w:ascii="Arial" w:eastAsia="Times New Roman" w:hAnsi="Arial" w:cs="Arial"/>
                <w:sz w:val="18"/>
                <w:szCs w:val="18"/>
                <w:lang w:eastAsia="es-AR"/>
              </w:rPr>
              <w:t>, </w:t>
            </w:r>
            <w:r w:rsidRPr="00157CD7">
              <w:rPr>
                <w:rFonts w:ascii="Arial" w:eastAsia="Times New Roman" w:hAnsi="Arial" w:cs="Arial"/>
                <w:i/>
                <w:iCs/>
                <w:sz w:val="18"/>
                <w:szCs w:val="18"/>
                <w:lang w:eastAsia="es-AR"/>
              </w:rPr>
              <w:t xml:space="preserve">paralelamente, la aplicación de esta herramienta conllevará notables beneficios para los sujetos que se incorporen al uso de las mismas, al brindarles la posibilidad de acceder a los avisos, citaciones, intimaciones, notificaciones y comunicaciones cursadas por este organismo en forma inmediata, ágil y sencilla, evitando el extravío de documentos o de las boletas impresas para el pago de tributos liquidados por la Autoridad de Aplicación, situación esta última que podría provocar una eventual pérdida de bonificaciones por pago en término; permitiéndoles una comunicación </w:t>
            </w:r>
            <w:r w:rsidRPr="00157CD7">
              <w:rPr>
                <w:rFonts w:ascii="Arial" w:eastAsia="Times New Roman" w:hAnsi="Arial" w:cs="Arial"/>
                <w:i/>
                <w:iCs/>
                <w:sz w:val="18"/>
                <w:szCs w:val="18"/>
                <w:lang w:eastAsia="es-AR"/>
              </w:rPr>
              <w:lastRenderedPageBreak/>
              <w:t>más fluida, certera y dinámica con esta Agencia de Recaudación, viéndose así facilitado el cumplimiento en tiempo y forma de los deberes a su cargo</w:t>
            </w:r>
            <w:r w:rsidRPr="00157CD7">
              <w:rPr>
                <w:rFonts w:ascii="Arial" w:eastAsia="Times New Roman" w:hAnsi="Arial" w:cs="Arial"/>
                <w:sz w:val="18"/>
                <w:szCs w:val="18"/>
                <w:lang w:eastAsia="es-AR"/>
              </w:rPr>
              <w:t>" (considerando décimo segundo).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lo antes transcripto puede apreciarse que las razones de eficiencia, seguridad y celeridad administrativa mediante la aplicación y utilización de las nuevas tecnologías en materia de notificaciones resultan susceptibles de ser procuradas por la medida adoptada. Así, el medio empleado contribuye de manera adecuada al logro de aquel objetivo o, cuanto menos, no luce manifiesta u ostensiblemente inapropiado para ello.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ese modo, la relación de funcionalidad que debe verificarse entre la circunstancia contemplada por la regulación y su finalidad o la de la política en beneficio de cuya realización aquella se estableció evidencia, en principio, la concreción necesaria para su validación.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Empero, determinada la idoneidad de la previsión normativa con relación al fin tenido en mira para su establecimiento, es menester profundizar el análisis y hacer mérito de otro aspecto central de la cuestión, cuya significación reside en la necesidad o </w:t>
            </w:r>
            <w:proofErr w:type="spellStart"/>
            <w:r w:rsidRPr="00157CD7">
              <w:rPr>
                <w:rFonts w:ascii="Arial" w:eastAsia="Times New Roman" w:hAnsi="Arial" w:cs="Arial"/>
                <w:sz w:val="18"/>
                <w:szCs w:val="18"/>
                <w:lang w:eastAsia="es-AR"/>
              </w:rPr>
              <w:t>imprescindibilidad</w:t>
            </w:r>
            <w:proofErr w:type="spellEnd"/>
            <w:r w:rsidRPr="00157CD7">
              <w:rPr>
                <w:rFonts w:ascii="Arial" w:eastAsia="Times New Roman" w:hAnsi="Arial" w:cs="Arial"/>
                <w:sz w:val="18"/>
                <w:szCs w:val="18"/>
                <w:lang w:eastAsia="es-AR"/>
              </w:rPr>
              <w:t xml:space="preserve"> de la medida aplicada, en tanto se vincula con el grado de afectación que ella conlleva en relación a las distintas alternativas posibles (conf. doc. S.C.B.A. causa I. 2215, "Asociación Testigos de Jehová", </w:t>
            </w:r>
            <w:proofErr w:type="spellStart"/>
            <w:r w:rsidRPr="00157CD7">
              <w:rPr>
                <w:rFonts w:ascii="Arial" w:eastAsia="Times New Roman" w:hAnsi="Arial" w:cs="Arial"/>
                <w:sz w:val="18"/>
                <w:szCs w:val="18"/>
                <w:lang w:eastAsia="es-AR"/>
              </w:rPr>
              <w:t>cit</w:t>
            </w:r>
            <w:proofErr w:type="spellEnd"/>
            <w:r w:rsidRPr="00157CD7">
              <w:rPr>
                <w:rFonts w:ascii="Arial" w:eastAsia="Times New Roman" w:hAnsi="Arial" w:cs="Arial"/>
                <w:sz w:val="18"/>
                <w:szCs w:val="18"/>
                <w:lang w:eastAsia="es-AR"/>
              </w:rPr>
              <w:t xml:space="preserve"> y doc. </w:t>
            </w:r>
            <w:proofErr w:type="gramStart"/>
            <w:r w:rsidRPr="00157CD7">
              <w:rPr>
                <w:rFonts w:ascii="Arial" w:eastAsia="Times New Roman" w:hAnsi="Arial" w:cs="Arial"/>
                <w:sz w:val="18"/>
                <w:szCs w:val="18"/>
                <w:lang w:eastAsia="es-AR"/>
              </w:rPr>
              <w:t>esta</w:t>
            </w:r>
            <w:proofErr w:type="gramEnd"/>
            <w:r w:rsidRPr="00157CD7">
              <w:rPr>
                <w:rFonts w:ascii="Arial" w:eastAsia="Times New Roman" w:hAnsi="Arial" w:cs="Arial"/>
                <w:sz w:val="18"/>
                <w:szCs w:val="18"/>
                <w:lang w:eastAsia="es-AR"/>
              </w:rPr>
              <w:t xml:space="preserve"> Cámara causa </w:t>
            </w:r>
            <w:r w:rsidRPr="00157CD7">
              <w:rPr>
                <w:rFonts w:ascii="Arial" w:eastAsia="Times New Roman" w:hAnsi="Arial" w:cs="Arial"/>
                <w:b/>
                <w:bCs/>
                <w:sz w:val="18"/>
                <w:szCs w:val="18"/>
                <w:lang w:eastAsia="es-AR"/>
              </w:rPr>
              <w:t>A-10101-DO0E "</w:t>
            </w:r>
            <w:proofErr w:type="spellStart"/>
            <w:r w:rsidRPr="00157CD7">
              <w:rPr>
                <w:rFonts w:ascii="Arial" w:eastAsia="Times New Roman" w:hAnsi="Arial" w:cs="Arial"/>
                <w:b/>
                <w:bCs/>
                <w:sz w:val="18"/>
                <w:szCs w:val="18"/>
                <w:lang w:eastAsia="es-AR"/>
              </w:rPr>
              <w:t>Caputo</w:t>
            </w:r>
            <w:proofErr w:type="spellEnd"/>
            <w:r w:rsidRPr="00157CD7">
              <w:rPr>
                <w:rFonts w:ascii="Arial" w:eastAsia="Times New Roman" w:hAnsi="Arial" w:cs="Arial"/>
                <w:b/>
                <w:bCs/>
                <w:sz w:val="18"/>
                <w:szCs w:val="18"/>
                <w:lang w:eastAsia="es-AR"/>
              </w:rPr>
              <w:t>"</w:t>
            </w:r>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sent</w:t>
            </w:r>
            <w:proofErr w:type="spellEnd"/>
            <w:r w:rsidRPr="00157CD7">
              <w:rPr>
                <w:rFonts w:ascii="Arial" w:eastAsia="Times New Roman" w:hAnsi="Arial" w:cs="Arial"/>
                <w:sz w:val="18"/>
                <w:szCs w:val="18"/>
                <w:lang w:eastAsia="es-AR"/>
              </w:rPr>
              <w:t xml:space="preserve">. </w:t>
            </w:r>
            <w:proofErr w:type="gramStart"/>
            <w:r w:rsidRPr="00157CD7">
              <w:rPr>
                <w:rFonts w:ascii="Arial" w:eastAsia="Times New Roman" w:hAnsi="Arial" w:cs="Arial"/>
                <w:sz w:val="18"/>
                <w:szCs w:val="18"/>
                <w:lang w:eastAsia="es-AR"/>
              </w:rPr>
              <w:t>del</w:t>
            </w:r>
            <w:proofErr w:type="gramEnd"/>
            <w:r w:rsidRPr="00157CD7">
              <w:rPr>
                <w:rFonts w:ascii="Arial" w:eastAsia="Times New Roman" w:hAnsi="Arial" w:cs="Arial"/>
                <w:sz w:val="18"/>
                <w:szCs w:val="18"/>
                <w:lang w:eastAsia="es-AR"/>
              </w:rPr>
              <w:t xml:space="preserve"> 17-09-2020 -por mayoría-). De esa manera, habrá de verificarse si entre los diversos medios factibles, por apropiados o útiles, no existan otras opciones menos restrictivas de los derechos en juego que las impuestas por la normativa cuestionada (conf. doc. C.S.J.N. Fallos 325:2968; voto de los Ministros </w:t>
            </w:r>
            <w:proofErr w:type="spellStart"/>
            <w:r w:rsidRPr="00157CD7">
              <w:rPr>
                <w:rFonts w:ascii="Arial" w:eastAsia="Times New Roman" w:hAnsi="Arial" w:cs="Arial"/>
                <w:sz w:val="18"/>
                <w:szCs w:val="18"/>
                <w:lang w:eastAsia="es-AR"/>
              </w:rPr>
              <w:t>Boggiano</w:t>
            </w:r>
            <w:proofErr w:type="spellEnd"/>
            <w:r w:rsidRPr="00157CD7">
              <w:rPr>
                <w:rFonts w:ascii="Arial" w:eastAsia="Times New Roman" w:hAnsi="Arial" w:cs="Arial"/>
                <w:sz w:val="18"/>
                <w:szCs w:val="18"/>
                <w:lang w:eastAsia="es-AR"/>
              </w:rPr>
              <w:t xml:space="preserve">, </w:t>
            </w:r>
            <w:proofErr w:type="spellStart"/>
            <w:r w:rsidRPr="00157CD7">
              <w:rPr>
                <w:rFonts w:ascii="Arial" w:eastAsia="Times New Roman" w:hAnsi="Arial" w:cs="Arial"/>
                <w:sz w:val="18"/>
                <w:szCs w:val="18"/>
                <w:lang w:eastAsia="es-AR"/>
              </w:rPr>
              <w:t>Fayt</w:t>
            </w:r>
            <w:proofErr w:type="spellEnd"/>
            <w:r w:rsidRPr="00157CD7">
              <w:rPr>
                <w:rFonts w:ascii="Arial" w:eastAsia="Times New Roman" w:hAnsi="Arial" w:cs="Arial"/>
                <w:sz w:val="18"/>
                <w:szCs w:val="18"/>
                <w:lang w:eastAsia="es-AR"/>
              </w:rPr>
              <w:t xml:space="preserve"> y </w:t>
            </w:r>
            <w:proofErr w:type="spellStart"/>
            <w:r w:rsidRPr="00157CD7">
              <w:rPr>
                <w:rFonts w:ascii="Arial" w:eastAsia="Times New Roman" w:hAnsi="Arial" w:cs="Arial"/>
                <w:sz w:val="18"/>
                <w:szCs w:val="18"/>
                <w:lang w:eastAsia="es-AR"/>
              </w:rPr>
              <w:t>Petracchi</w:t>
            </w:r>
            <w:proofErr w:type="spellEnd"/>
            <w:r w:rsidRPr="00157CD7">
              <w:rPr>
                <w:rFonts w:ascii="Arial" w:eastAsia="Times New Roman" w:hAnsi="Arial" w:cs="Arial"/>
                <w:sz w:val="18"/>
                <w:szCs w:val="18"/>
                <w:lang w:eastAsia="es-AR"/>
              </w:rPr>
              <w:t xml:space="preserve"> en Fallos 318:1894; Fallos 327:5118; 329:2986; 331:1715; 332:433 y 335:2418).</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Y, en ese escrutinio, la conclusión final que arroja tal indagación da cuenta de un resultado de signo opuesto al anterior, dado que la automática prioridad contemplada en segundo párrafo del artículo 8 de la Resolución Normativa N° 7/14, en su aplicación a la concreta situación configurada en la especie (conf. doc. C.S.J.N. Fallos 321:194; entre otros), no resulta estrictamente necesaria para alcanzar la finalidad perseguida.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Pues la invariable solución contemplada en la norma cuestionada, en orden a la preminencia que, en este caso, se asignó a la notificación electrónica (a los fines del cómputo del plazo para recurrir la decisión anoticiada) no obstante la existencia de otras sucesivas comunicaciones igualmente válidas, con las graves consecuencias que de ello se derivan a los fines impugnatorios para el contribuyente que se considere afectado en sus derechos, se revela manifiestamente más costosa que otras alternativas por las que podría haberse optado sin desmedro de aquellos objetivos cuya consecución pretendió la norma.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Tal reflexión no configura, en rigor, el control de la oportunidad o conveniencia del medio escogido por la Administración o la ponderación de si la medida adoptada es, entre las varias posibles, la más eficaz (lo que no atañe a la judicatura por cuanto ello implicaría sustituir los referidos criterios del poder administrador -en el caso- por el del órgano jurisdiccional); sino sólo la constatación de que aquella opción, en su operatividad en el caso, no es la forma o el medio menos oneroso para alcanzar la finalidad perseguida. Dicho en otros términos, el examen procede si -como en la especie- existen otras soluciones menos restrictivas de la situación jurídica subjetiva que igualmente posibilitaban el logro del mismo fin.</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efecto, dados los extremos constitutivos de la situación analizada en la especie (diversas notificaciones válidas de un mismo acto administrativos, efectuadas en forma sucesiva a diferentes domicilios fiscales del contribuyente), el criterio adoptado por la Administración al asignar prevalencia a la primera de esas comunicaciones (realizada en forma digital al domicilio electrónico) ciertamente resultó más gravoso a los derechos del interesado, pues, tergiversó, en desmedro de la situación de este último, la obligación que le corresponde a la autoridad estatal de anoticiar sus decisiones, mediante un accionar que ciertamente no responde, en forma adecuada, con los motivos fundantes de la previsión normativa. Y ello, en clara afectación del debido proceso en sede administrativa (art. 15 Constitución provincial).</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La notificación del acto administrativo, ciertamente, resulta alcanzada por los principios de oficialidad, debido procedimiento y buena fe, como pautas rectoras que exigen al organismo emisor de aquel una conducta activa y diligente, orientada a ponerlo en conocimiento del contribuyente en forma fehaciente, no solo como recaudo estrechamente vinculado a la eficacia del acto, sino también como garantía del derecho al debido proceso adjetivo que asiste al administrado,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Empero, en la especie, y atento las circunstancias en las que se verificaron las comunicaciones antes reseñadas, la aplicación que se hizo de la norma importó, de alguna manera, transformar la efectiva exigencia de notificación del acto (por regla, a cargo de la Administración) en un cometido propio del contribuyente, quien, de no ingresar periódicamente al domicilio electrónico que la autoridad recaudatoria le impuso obligatoriamente (cfr. arts. 5 y 10° de la Resolución Normativa N° 7/14) quedará notificado "</w:t>
            </w:r>
            <w:r w:rsidRPr="00157CD7">
              <w:rPr>
                <w:rFonts w:ascii="Arial" w:eastAsia="Times New Roman" w:hAnsi="Arial" w:cs="Arial"/>
                <w:b/>
                <w:bCs/>
                <w:sz w:val="18"/>
                <w:szCs w:val="18"/>
                <w:lang w:eastAsia="es-AR"/>
              </w:rPr>
              <w:t xml:space="preserve">ministerio </w:t>
            </w:r>
            <w:proofErr w:type="spellStart"/>
            <w:r w:rsidRPr="00157CD7">
              <w:rPr>
                <w:rFonts w:ascii="Arial" w:eastAsia="Times New Roman" w:hAnsi="Arial" w:cs="Arial"/>
                <w:b/>
                <w:bCs/>
                <w:sz w:val="18"/>
                <w:szCs w:val="18"/>
                <w:lang w:eastAsia="es-AR"/>
              </w:rPr>
              <w:t>legis</w:t>
            </w:r>
            <w:proofErr w:type="spellEnd"/>
            <w:r w:rsidRPr="00157CD7">
              <w:rPr>
                <w:rFonts w:ascii="Arial" w:eastAsia="Times New Roman" w:hAnsi="Arial" w:cs="Arial"/>
                <w:sz w:val="18"/>
                <w:szCs w:val="18"/>
                <w:lang w:eastAsia="es-AR"/>
              </w:rPr>
              <w:t>" (con las consecuencias</w:t>
            </w:r>
            <w:bookmarkStart w:id="0" w:name="_GoBack"/>
            <w:bookmarkEnd w:id="0"/>
            <w:r w:rsidRPr="00157CD7">
              <w:rPr>
                <w:rFonts w:ascii="Arial" w:eastAsia="Times New Roman" w:hAnsi="Arial" w:cs="Arial"/>
                <w:sz w:val="18"/>
                <w:szCs w:val="18"/>
                <w:lang w:eastAsia="es-AR"/>
              </w:rPr>
              <w:t xml:space="preserve"> que de ello se siguen en orden a la firmeza de los actos respectivos). Todo ello en un contexto en el cual la autoridad estatal, con posterioridad a esa primera comunicación, remitió tres más a otros dos domicilios fiscales válidamente constituidos por la empresa; y la última de ellas, en verdad, cuando ya había fenecido el término para impugnar el acto objeto de </w:t>
            </w:r>
            <w:proofErr w:type="spellStart"/>
            <w:r w:rsidRPr="00157CD7">
              <w:rPr>
                <w:rFonts w:ascii="Arial" w:eastAsia="Times New Roman" w:hAnsi="Arial" w:cs="Arial"/>
                <w:sz w:val="18"/>
                <w:szCs w:val="18"/>
                <w:lang w:eastAsia="es-AR"/>
              </w:rPr>
              <w:t>anoticiamiento</w:t>
            </w:r>
            <w:proofErr w:type="spellEnd"/>
            <w:r w:rsidRPr="00157CD7">
              <w:rPr>
                <w:rFonts w:ascii="Arial" w:eastAsia="Times New Roman" w:hAnsi="Arial" w:cs="Arial"/>
                <w:sz w:val="18"/>
                <w:szCs w:val="18"/>
                <w:lang w:eastAsia="es-AR"/>
              </w:rPr>
              <w:t xml:space="preserve"> si ese plazo se computara desde la primera de ellas (digital).</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Extremo que, en rigor, y más allá de lo consignado en el artículo 8, segundo párrafo de la Resolución Normativa N °7/14 (cuyo desconocimiento no podría ser válidamente alegado -arts. 20 del Código Civil y 8 del Código Civil y </w:t>
            </w:r>
            <w:r w:rsidRPr="00157CD7">
              <w:rPr>
                <w:rFonts w:ascii="Arial" w:eastAsia="Times New Roman" w:hAnsi="Arial" w:cs="Arial"/>
                <w:sz w:val="18"/>
                <w:szCs w:val="18"/>
                <w:lang w:eastAsia="es-AR"/>
              </w:rPr>
              <w:lastRenderedPageBreak/>
              <w:t>Comercial-), reviste aptitud suficiente para sumir al interesado en una situación de incerteza y perplejidad en orden a la conducta a adoptar.</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Y semejante inversión de un recaudo que atañe a la eficacia de la decisión administrativa adoptada, en un supuesto como el de autos, atenta también contra la efectiva publicidad de los actos de los órganos estatales que posibilite su adecuado control por parte de los posibles interesados afectados por sus efectos, pues se impone al contribuyente la asunción de determinadas cargas a fin de notificarse de toda eventual resolución de la autoridad recaudatoria (con el consecuente inicio del término para recurrirla), aun en el caso de recibir concomitantemente otras comunicaciones en los términos previstos en el art. 162 del Código Fiscal (</w:t>
            </w:r>
            <w:proofErr w:type="spellStart"/>
            <w:r w:rsidRPr="00157CD7">
              <w:rPr>
                <w:rFonts w:ascii="Arial" w:eastAsia="Times New Roman" w:hAnsi="Arial" w:cs="Arial"/>
                <w:sz w:val="18"/>
                <w:szCs w:val="18"/>
                <w:lang w:eastAsia="es-AR"/>
              </w:rPr>
              <w:t>t.o</w:t>
            </w:r>
            <w:proofErr w:type="spellEnd"/>
            <w:r w:rsidRPr="00157CD7">
              <w:rPr>
                <w:rFonts w:ascii="Arial" w:eastAsia="Times New Roman" w:hAnsi="Arial" w:cs="Arial"/>
                <w:sz w:val="18"/>
                <w:szCs w:val="18"/>
                <w:lang w:eastAsia="es-AR"/>
              </w:rPr>
              <w:t>. 2011).</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modo que, en definitiva, la automática e inflexible primacía de la modalidad de notificación digital en el domicilio electrónico del contribuyente, en una situación como la configurada en la especie, conlleva una limitación a los derechos impugnatorios de este último carente de una adecuada justificación jurídica.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 ello se añade que la que la actividad desarrollada por A.R.B.A. en el caso </w:t>
            </w:r>
            <w:r w:rsidRPr="00157CD7">
              <w:rPr>
                <w:rFonts w:ascii="Arial" w:eastAsia="Times New Roman" w:hAnsi="Arial" w:cs="Arial"/>
                <w:b/>
                <w:bCs/>
                <w:sz w:val="18"/>
                <w:szCs w:val="18"/>
                <w:lang w:eastAsia="es-AR"/>
              </w:rPr>
              <w:t>sub examine</w:t>
            </w:r>
            <w:r w:rsidRPr="00157CD7">
              <w:rPr>
                <w:rFonts w:ascii="Arial" w:eastAsia="Times New Roman" w:hAnsi="Arial" w:cs="Arial"/>
                <w:sz w:val="18"/>
                <w:szCs w:val="18"/>
                <w:lang w:eastAsia="es-AR"/>
              </w:rPr>
              <w:t> importó un uso poco eficiente y racional de sus recursos, ciertamente contradictorio con las finalidades perseguidas por la autoridad de aplicación al sancionar la Resolución Normativa N° 7/14 y que surgen de sus considerados más arriba transcriptos.</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En suma, la innegable ventaja que reviste la utilización de medios tecnológicos para la optimización de los procedimientos que se desarrollan en el seno de la Administración, mal podría justificar la adopción de conductas que, con aquel justificativo, carezcan de un adecuado y racional sustento. Tal como se verifica en el presente.</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Es en ese particular contexto, pues, corresponde confirmar la resolución que propiciada por el juez de la instancia, en cuanto declaró la inconstitucionalidad del artículo 8, segunda parte, de la Resolución Normativa N° 7/14 y las consecuencias que de ello se derivaron en punto a </w:t>
            </w:r>
            <w:proofErr w:type="spellStart"/>
            <w:r w:rsidRPr="00157CD7">
              <w:rPr>
                <w:rFonts w:ascii="Arial" w:eastAsia="Times New Roman" w:hAnsi="Arial" w:cs="Arial"/>
                <w:sz w:val="18"/>
                <w:szCs w:val="18"/>
                <w:lang w:eastAsia="es-AR"/>
              </w:rPr>
              <w:t>temporaneidad</w:t>
            </w:r>
            <w:proofErr w:type="spellEnd"/>
            <w:r w:rsidRPr="00157CD7">
              <w:rPr>
                <w:rFonts w:ascii="Arial" w:eastAsia="Times New Roman" w:hAnsi="Arial" w:cs="Arial"/>
                <w:sz w:val="18"/>
                <w:szCs w:val="18"/>
                <w:lang w:eastAsia="es-AR"/>
              </w:rPr>
              <w:t xml:space="preserve"> de la impugnación formulada en sede administrativa por la firma actora.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III.</w:t>
            </w:r>
            <w:r w:rsidRPr="00157CD7">
              <w:rPr>
                <w:rFonts w:ascii="Arial" w:eastAsia="Times New Roman" w:hAnsi="Arial" w:cs="Arial"/>
                <w:sz w:val="18"/>
                <w:szCs w:val="18"/>
                <w:lang w:eastAsia="es-AR"/>
              </w:rPr>
              <w:t> Si lo expuesto es compartido, he de proponer al Acuerdo rechazar el recurso de apelación articulado por el Fisco con fecha 30-11-2020 y, por los fundamentos expuestos, confirmar el fallo en crisis en cuanto fue materia de agravio. Las costas de Alzada deberían imponerse a la parte demandada, en su condición de vencida (cfr. arts. 51 inc. 1° -texto según ley 14.437-).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A la cuestión planteada, voto por la </w:t>
            </w:r>
            <w:r w:rsidRPr="00157CD7">
              <w:rPr>
                <w:rFonts w:ascii="Arial" w:eastAsia="Times New Roman" w:hAnsi="Arial" w:cs="Arial"/>
                <w:b/>
                <w:bCs/>
                <w:sz w:val="18"/>
                <w:szCs w:val="18"/>
                <w:lang w:eastAsia="es-AR"/>
              </w:rPr>
              <w:t>negativa</w:t>
            </w:r>
            <w:r w:rsidRPr="00157CD7">
              <w:rPr>
                <w:rFonts w:ascii="Arial" w:eastAsia="Times New Roman" w:hAnsi="Arial" w:cs="Arial"/>
                <w:sz w:val="18"/>
                <w:szCs w:val="18"/>
                <w:lang w:eastAsia="es-AR"/>
              </w:rPr>
              <w:t>.</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El </w:t>
            </w:r>
            <w:r w:rsidRPr="00157CD7">
              <w:rPr>
                <w:rFonts w:ascii="Arial" w:eastAsia="Times New Roman" w:hAnsi="Arial" w:cs="Arial"/>
                <w:b/>
                <w:bCs/>
                <w:sz w:val="18"/>
                <w:szCs w:val="18"/>
                <w:lang w:eastAsia="es-AR"/>
              </w:rPr>
              <w:t xml:space="preserve">señor </w:t>
            </w:r>
            <w:proofErr w:type="spellStart"/>
            <w:r w:rsidRPr="00157CD7">
              <w:rPr>
                <w:rFonts w:ascii="Arial" w:eastAsia="Times New Roman" w:hAnsi="Arial" w:cs="Arial"/>
                <w:b/>
                <w:bCs/>
                <w:sz w:val="18"/>
                <w:szCs w:val="18"/>
                <w:lang w:eastAsia="es-AR"/>
              </w:rPr>
              <w:t>Juex</w:t>
            </w:r>
            <w:proofErr w:type="spellEnd"/>
            <w:r w:rsidRPr="00157CD7">
              <w:rPr>
                <w:rFonts w:ascii="Arial" w:eastAsia="Times New Roman" w:hAnsi="Arial" w:cs="Arial"/>
                <w:b/>
                <w:bCs/>
                <w:sz w:val="18"/>
                <w:szCs w:val="18"/>
                <w:lang w:eastAsia="es-AR"/>
              </w:rPr>
              <w:t xml:space="preserve"> doctor Mora</w:t>
            </w:r>
            <w:r w:rsidRPr="00157CD7">
              <w:rPr>
                <w:rFonts w:ascii="Arial" w:eastAsia="Times New Roman" w:hAnsi="Arial" w:cs="Arial"/>
                <w:sz w:val="18"/>
                <w:szCs w:val="18"/>
                <w:lang w:eastAsia="es-AR"/>
              </w:rPr>
              <w:t xml:space="preserve"> con igual alcance y por idénticos fundamentos a los brindados por el señor Juez doctor </w:t>
            </w:r>
            <w:proofErr w:type="spellStart"/>
            <w:r w:rsidRPr="00157CD7">
              <w:rPr>
                <w:rFonts w:ascii="Arial" w:eastAsia="Times New Roman" w:hAnsi="Arial" w:cs="Arial"/>
                <w:sz w:val="18"/>
                <w:szCs w:val="18"/>
                <w:lang w:eastAsia="es-AR"/>
              </w:rPr>
              <w:t>Ucín</w:t>
            </w:r>
            <w:proofErr w:type="spellEnd"/>
            <w:r w:rsidRPr="00157CD7">
              <w:rPr>
                <w:rFonts w:ascii="Arial" w:eastAsia="Times New Roman" w:hAnsi="Arial" w:cs="Arial"/>
                <w:sz w:val="18"/>
                <w:szCs w:val="18"/>
                <w:lang w:eastAsia="es-AR"/>
              </w:rPr>
              <w:t>, vota a la cuestión planteada por la </w:t>
            </w:r>
            <w:r w:rsidRPr="00157CD7">
              <w:rPr>
                <w:rFonts w:ascii="Arial" w:eastAsia="Times New Roman" w:hAnsi="Arial" w:cs="Arial"/>
                <w:b/>
                <w:bCs/>
                <w:sz w:val="18"/>
                <w:szCs w:val="18"/>
                <w:lang w:eastAsia="es-AR"/>
              </w:rPr>
              <w:t>negativa</w:t>
            </w:r>
            <w:r w:rsidRPr="00157CD7">
              <w:rPr>
                <w:rFonts w:ascii="Arial" w:eastAsia="Times New Roman" w:hAnsi="Arial" w:cs="Arial"/>
                <w:sz w:val="18"/>
                <w:szCs w:val="18"/>
                <w:lang w:eastAsia="es-AR"/>
              </w:rPr>
              <w:t>.</w:t>
            </w:r>
          </w:p>
          <w:p w:rsidR="00157CD7" w:rsidRPr="00157CD7" w:rsidRDefault="00157CD7" w:rsidP="00157CD7">
            <w:pPr>
              <w:spacing w:after="0" w:line="240" w:lineRule="atLeast"/>
              <w:ind w:left="57" w:right="1701" w:firstLine="840"/>
              <w:jc w:val="both"/>
              <w:rPr>
                <w:rFonts w:ascii="Arial" w:eastAsia="Times New Roman" w:hAnsi="Arial" w:cs="Arial"/>
                <w:b/>
                <w:bCs/>
                <w:sz w:val="18"/>
                <w:szCs w:val="18"/>
                <w:lang w:eastAsia="es-AR"/>
              </w:rPr>
            </w:pPr>
            <w:r w:rsidRPr="00157CD7">
              <w:rPr>
                <w:rFonts w:ascii="Arial" w:eastAsia="Times New Roman" w:hAnsi="Arial" w:cs="Arial"/>
                <w:b/>
                <w:bCs/>
                <w:sz w:val="18"/>
                <w:szCs w:val="18"/>
                <w:lang w:eastAsia="es-AR"/>
              </w:rPr>
              <w:t xml:space="preserve">A la cuestión planteada, el señor Juez doctor </w:t>
            </w:r>
            <w:proofErr w:type="spellStart"/>
            <w:r w:rsidRPr="00157CD7">
              <w:rPr>
                <w:rFonts w:ascii="Arial" w:eastAsia="Times New Roman" w:hAnsi="Arial" w:cs="Arial"/>
                <w:b/>
                <w:bCs/>
                <w:sz w:val="18"/>
                <w:szCs w:val="18"/>
                <w:lang w:eastAsia="es-AR"/>
              </w:rPr>
              <w:t>Riccitelli</w:t>
            </w:r>
            <w:proofErr w:type="spellEnd"/>
            <w:r w:rsidRPr="00157CD7">
              <w:rPr>
                <w:rFonts w:ascii="Arial" w:eastAsia="Times New Roman" w:hAnsi="Arial" w:cs="Arial"/>
                <w:b/>
                <w:bCs/>
                <w:sz w:val="18"/>
                <w:szCs w:val="18"/>
                <w:lang w:eastAsia="es-AR"/>
              </w:rPr>
              <w:t xml:space="preserve"> dijo: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Dejando fuera de mi adhesión lo plasmado en el </w:t>
            </w:r>
            <w:r w:rsidRPr="00157CD7">
              <w:rPr>
                <w:rFonts w:ascii="Arial" w:eastAsia="Times New Roman" w:hAnsi="Arial" w:cs="Arial"/>
                <w:b/>
                <w:bCs/>
                <w:sz w:val="18"/>
                <w:szCs w:val="18"/>
                <w:lang w:eastAsia="es-AR"/>
              </w:rPr>
              <w:t xml:space="preserve">apartado II, punto 2.4., </w:t>
            </w:r>
            <w:proofErr w:type="gramStart"/>
            <w:r w:rsidRPr="00157CD7">
              <w:rPr>
                <w:rFonts w:ascii="Arial" w:eastAsia="Times New Roman" w:hAnsi="Arial" w:cs="Arial"/>
                <w:b/>
                <w:bCs/>
                <w:sz w:val="18"/>
                <w:szCs w:val="18"/>
                <w:lang w:eastAsia="es-AR"/>
              </w:rPr>
              <w:t>párrafos</w:t>
            </w:r>
            <w:proofErr w:type="gramEnd"/>
            <w:r w:rsidRPr="00157CD7">
              <w:rPr>
                <w:rFonts w:ascii="Arial" w:eastAsia="Times New Roman" w:hAnsi="Arial" w:cs="Arial"/>
                <w:b/>
                <w:bCs/>
                <w:sz w:val="18"/>
                <w:szCs w:val="18"/>
                <w:lang w:eastAsia="es-AR"/>
              </w:rPr>
              <w:t xml:space="preserve"> sexto -última oración-, octavo, noveno, </w:t>
            </w:r>
            <w:proofErr w:type="spellStart"/>
            <w:r w:rsidRPr="00157CD7">
              <w:rPr>
                <w:rFonts w:ascii="Arial" w:eastAsia="Times New Roman" w:hAnsi="Arial" w:cs="Arial"/>
                <w:b/>
                <w:bCs/>
                <w:sz w:val="18"/>
                <w:szCs w:val="18"/>
                <w:lang w:eastAsia="es-AR"/>
              </w:rPr>
              <w:t>décimoprimero</w:t>
            </w:r>
            <w:proofErr w:type="spellEnd"/>
            <w:r w:rsidRPr="00157CD7">
              <w:rPr>
                <w:rFonts w:ascii="Arial" w:eastAsia="Times New Roman" w:hAnsi="Arial" w:cs="Arial"/>
                <w:b/>
                <w:bCs/>
                <w:sz w:val="18"/>
                <w:szCs w:val="18"/>
                <w:lang w:eastAsia="es-AR"/>
              </w:rPr>
              <w:t xml:space="preserve">, </w:t>
            </w:r>
            <w:proofErr w:type="spellStart"/>
            <w:r w:rsidRPr="00157CD7">
              <w:rPr>
                <w:rFonts w:ascii="Arial" w:eastAsia="Times New Roman" w:hAnsi="Arial" w:cs="Arial"/>
                <w:b/>
                <w:bCs/>
                <w:sz w:val="18"/>
                <w:szCs w:val="18"/>
                <w:lang w:eastAsia="es-AR"/>
              </w:rPr>
              <w:t>décimocuarto</w:t>
            </w:r>
            <w:proofErr w:type="spellEnd"/>
            <w:r w:rsidRPr="00157CD7">
              <w:rPr>
                <w:rFonts w:ascii="Arial" w:eastAsia="Times New Roman" w:hAnsi="Arial" w:cs="Arial"/>
                <w:b/>
                <w:bCs/>
                <w:sz w:val="18"/>
                <w:szCs w:val="18"/>
                <w:lang w:eastAsia="es-AR"/>
              </w:rPr>
              <w:t xml:space="preserve">, </w:t>
            </w:r>
            <w:proofErr w:type="spellStart"/>
            <w:r w:rsidRPr="00157CD7">
              <w:rPr>
                <w:rFonts w:ascii="Arial" w:eastAsia="Times New Roman" w:hAnsi="Arial" w:cs="Arial"/>
                <w:b/>
                <w:bCs/>
                <w:sz w:val="18"/>
                <w:szCs w:val="18"/>
                <w:lang w:eastAsia="es-AR"/>
              </w:rPr>
              <w:t>décimoquinto</w:t>
            </w:r>
            <w:proofErr w:type="spellEnd"/>
            <w:r w:rsidRPr="00157CD7">
              <w:rPr>
                <w:rFonts w:ascii="Arial" w:eastAsia="Times New Roman" w:hAnsi="Arial" w:cs="Arial"/>
                <w:b/>
                <w:bCs/>
                <w:sz w:val="18"/>
                <w:szCs w:val="18"/>
                <w:lang w:eastAsia="es-AR"/>
              </w:rPr>
              <w:t xml:space="preserve"> y </w:t>
            </w:r>
            <w:proofErr w:type="spellStart"/>
            <w:r w:rsidRPr="00157CD7">
              <w:rPr>
                <w:rFonts w:ascii="Arial" w:eastAsia="Times New Roman" w:hAnsi="Arial" w:cs="Arial"/>
                <w:b/>
                <w:bCs/>
                <w:sz w:val="18"/>
                <w:szCs w:val="18"/>
                <w:lang w:eastAsia="es-AR"/>
              </w:rPr>
              <w:t>décimosexto</w:t>
            </w:r>
            <w:proofErr w:type="spellEnd"/>
            <w:r w:rsidRPr="00157CD7">
              <w:rPr>
                <w:rFonts w:ascii="Arial" w:eastAsia="Times New Roman" w:hAnsi="Arial" w:cs="Arial"/>
                <w:b/>
                <w:bCs/>
                <w:sz w:val="18"/>
                <w:szCs w:val="18"/>
                <w:lang w:eastAsia="es-AR"/>
              </w:rPr>
              <w:t>-</w:t>
            </w:r>
            <w:r w:rsidRPr="00157CD7">
              <w:rPr>
                <w:rFonts w:ascii="Arial" w:eastAsia="Times New Roman" w:hAnsi="Arial" w:cs="Arial"/>
                <w:sz w:val="18"/>
                <w:szCs w:val="18"/>
                <w:lang w:eastAsia="es-AR"/>
              </w:rPr>
              <w:t xml:space="preserve"> del voto del señor Juez doctor </w:t>
            </w:r>
            <w:proofErr w:type="spellStart"/>
            <w:r w:rsidRPr="00157CD7">
              <w:rPr>
                <w:rFonts w:ascii="Arial" w:eastAsia="Times New Roman" w:hAnsi="Arial" w:cs="Arial"/>
                <w:sz w:val="18"/>
                <w:szCs w:val="18"/>
                <w:lang w:eastAsia="es-AR"/>
              </w:rPr>
              <w:t>Ucín</w:t>
            </w:r>
            <w:proofErr w:type="spellEnd"/>
            <w:r w:rsidRPr="00157CD7">
              <w:rPr>
                <w:rFonts w:ascii="Arial" w:eastAsia="Times New Roman" w:hAnsi="Arial" w:cs="Arial"/>
                <w:sz w:val="18"/>
                <w:szCs w:val="18"/>
                <w:lang w:eastAsia="es-AR"/>
              </w:rPr>
              <w:t>, en lo restante acompaño la fundamentación y solución propuesta al Acuerdo.</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Con tal alcance, voto por la </w:t>
            </w:r>
            <w:r w:rsidRPr="00157CD7">
              <w:rPr>
                <w:rFonts w:ascii="Arial" w:eastAsia="Times New Roman" w:hAnsi="Arial" w:cs="Arial"/>
                <w:b/>
                <w:bCs/>
                <w:sz w:val="18"/>
                <w:szCs w:val="18"/>
                <w:lang w:eastAsia="es-AR"/>
              </w:rPr>
              <w:t>negativa</w:t>
            </w:r>
            <w:r w:rsidRPr="00157CD7">
              <w:rPr>
                <w:rFonts w:ascii="Arial" w:eastAsia="Times New Roman" w:hAnsi="Arial" w:cs="Arial"/>
                <w:sz w:val="18"/>
                <w:szCs w:val="18"/>
                <w:lang w:eastAsia="es-AR"/>
              </w:rPr>
              <w:t>.</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De conformidad a los votos precedentes, la Cámara de Apelación en lo Contencioso Administrativo con asiento en Mar del Plata, dicta la siguiente:</w:t>
            </w:r>
          </w:p>
          <w:p w:rsidR="00157CD7" w:rsidRPr="00157CD7" w:rsidRDefault="00157CD7" w:rsidP="00157CD7">
            <w:pPr>
              <w:spacing w:after="0" w:line="240" w:lineRule="atLeast"/>
              <w:ind w:left="57" w:right="1701" w:firstLine="840"/>
              <w:jc w:val="both"/>
              <w:rPr>
                <w:rFonts w:ascii="Arial" w:eastAsia="Times New Roman" w:hAnsi="Arial" w:cs="Arial"/>
                <w:b/>
                <w:bCs/>
                <w:sz w:val="18"/>
                <w:szCs w:val="18"/>
                <w:u w:val="single"/>
                <w:lang w:eastAsia="es-AR"/>
              </w:rPr>
            </w:pPr>
            <w:r w:rsidRPr="00157CD7">
              <w:rPr>
                <w:rFonts w:ascii="Arial" w:eastAsia="Times New Roman" w:hAnsi="Arial" w:cs="Arial"/>
                <w:b/>
                <w:bCs/>
                <w:sz w:val="18"/>
                <w:szCs w:val="18"/>
                <w:u w:val="single"/>
                <w:lang w:eastAsia="es-AR"/>
              </w:rPr>
              <w:t>SENTENCIA</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1.</w:t>
            </w:r>
            <w:r w:rsidRPr="00157CD7">
              <w:rPr>
                <w:rFonts w:ascii="Arial" w:eastAsia="Times New Roman" w:hAnsi="Arial" w:cs="Arial"/>
                <w:sz w:val="18"/>
                <w:szCs w:val="18"/>
                <w:lang w:eastAsia="es-AR"/>
              </w:rPr>
              <w:t> Rechazar el recurso de apelación articulado por el Fisco con fecha 30-11-2020 y, por los fundamentos antes expuestos, confirmar el fallo en crisis en cuanto fue materia de agravio. Las costas de Alzada se imponen a la parte demandada, en su condición de vencida (cfr. arts. 51 inc. 1° -texto según ley 14.437-).</w:t>
            </w:r>
          </w:p>
          <w:p w:rsidR="00157CD7" w:rsidRPr="00157CD7" w:rsidRDefault="00157CD7" w:rsidP="00157CD7">
            <w:pPr>
              <w:spacing w:after="0" w:line="240" w:lineRule="atLeast"/>
              <w:ind w:left="57" w:right="1701" w:firstLine="840"/>
              <w:jc w:val="both"/>
              <w:rPr>
                <w:rFonts w:ascii="Arial" w:eastAsia="Times New Roman" w:hAnsi="Arial" w:cs="Arial"/>
                <w:sz w:val="18"/>
                <w:szCs w:val="18"/>
                <w:lang w:eastAsia="es-AR"/>
              </w:rPr>
            </w:pPr>
            <w:r w:rsidRPr="00157CD7">
              <w:rPr>
                <w:rFonts w:ascii="Arial" w:eastAsia="Times New Roman" w:hAnsi="Arial" w:cs="Arial"/>
                <w:b/>
                <w:bCs/>
                <w:sz w:val="18"/>
                <w:szCs w:val="18"/>
                <w:lang w:eastAsia="es-AR"/>
              </w:rPr>
              <w:t>2.</w:t>
            </w:r>
            <w:r w:rsidRPr="00157CD7">
              <w:rPr>
                <w:rFonts w:ascii="Arial" w:eastAsia="Times New Roman" w:hAnsi="Arial" w:cs="Arial"/>
                <w:sz w:val="18"/>
                <w:szCs w:val="18"/>
                <w:lang w:eastAsia="es-AR"/>
              </w:rPr>
              <w:t> Estese a la regulación de honorarios correspondiente a los trabajos de Alzada que se practica por resolución separada.</w:t>
            </w:r>
          </w:p>
          <w:p w:rsidR="00157CD7" w:rsidRPr="00157CD7" w:rsidRDefault="00157CD7" w:rsidP="00157CD7">
            <w:pPr>
              <w:spacing w:after="0" w:line="240" w:lineRule="atLeast"/>
              <w:ind w:left="57" w:right="1701" w:firstLine="700"/>
              <w:jc w:val="both"/>
              <w:rPr>
                <w:rFonts w:ascii="Arial" w:eastAsia="Times New Roman" w:hAnsi="Arial" w:cs="Arial"/>
                <w:sz w:val="18"/>
                <w:szCs w:val="18"/>
                <w:lang w:eastAsia="es-AR"/>
              </w:rPr>
            </w:pPr>
            <w:r w:rsidRPr="00157CD7">
              <w:rPr>
                <w:rFonts w:ascii="Arial" w:eastAsia="Times New Roman" w:hAnsi="Arial" w:cs="Arial"/>
                <w:sz w:val="18"/>
                <w:szCs w:val="18"/>
                <w:lang w:eastAsia="es-AR"/>
              </w:rPr>
              <w:t xml:space="preserve">Regístrese, notifíquese por Secretaría electrónicamente conforme art. 10 del Anexo único del Acuerdo 4013/21 </w:t>
            </w:r>
            <w:proofErr w:type="spellStart"/>
            <w:r w:rsidRPr="00157CD7">
              <w:rPr>
                <w:rFonts w:ascii="Arial" w:eastAsia="Times New Roman" w:hAnsi="Arial" w:cs="Arial"/>
                <w:sz w:val="18"/>
                <w:szCs w:val="18"/>
                <w:lang w:eastAsia="es-AR"/>
              </w:rPr>
              <w:t>modif</w:t>
            </w:r>
            <w:proofErr w:type="spellEnd"/>
            <w:r w:rsidRPr="00157CD7">
              <w:rPr>
                <w:rFonts w:ascii="Arial" w:eastAsia="Times New Roman" w:hAnsi="Arial" w:cs="Arial"/>
                <w:sz w:val="18"/>
                <w:szCs w:val="18"/>
                <w:lang w:eastAsia="es-AR"/>
              </w:rPr>
              <w:t xml:space="preserve">. </w:t>
            </w:r>
            <w:proofErr w:type="gramStart"/>
            <w:r w:rsidRPr="00157CD7">
              <w:rPr>
                <w:rFonts w:ascii="Arial" w:eastAsia="Times New Roman" w:hAnsi="Arial" w:cs="Arial"/>
                <w:sz w:val="18"/>
                <w:szCs w:val="18"/>
                <w:lang w:eastAsia="es-AR"/>
              </w:rPr>
              <w:t>por</w:t>
            </w:r>
            <w:proofErr w:type="gramEnd"/>
            <w:r w:rsidRPr="00157CD7">
              <w:rPr>
                <w:rFonts w:ascii="Arial" w:eastAsia="Times New Roman" w:hAnsi="Arial" w:cs="Arial"/>
                <w:sz w:val="18"/>
                <w:szCs w:val="18"/>
                <w:lang w:eastAsia="es-AR"/>
              </w:rPr>
              <w:t xml:space="preserve"> Acuerdo 4039/21 de la SCBA y devuélvanse las actuaciones al Juzgado de origen por Secretaría.</w:t>
            </w:r>
          </w:p>
        </w:tc>
      </w:tr>
    </w:tbl>
    <w:p w:rsidR="00283A9B" w:rsidRDefault="00283A9B" w:rsidP="00157CD7">
      <w:pPr>
        <w:ind w:left="57" w:right="1701"/>
        <w:jc w:val="both"/>
      </w:pPr>
    </w:p>
    <w:sectPr w:rsidR="00283A9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CD7"/>
    <w:rsid w:val="0009669F"/>
    <w:rsid w:val="00157CD7"/>
    <w:rsid w:val="00283A9B"/>
    <w:rsid w:val="00335517"/>
    <w:rsid w:val="005B40B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E34D26-C8E0-47E5-BF40-C9482293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57CD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no-print">
    <w:name w:val="no-print"/>
    <w:basedOn w:val="Fuentedeprrafopredeter"/>
    <w:rsid w:val="00157CD7"/>
  </w:style>
  <w:style w:type="character" w:styleId="Hipervnculo">
    <w:name w:val="Hyperlink"/>
    <w:basedOn w:val="Fuentedeprrafopredeter"/>
    <w:uiPriority w:val="99"/>
    <w:semiHidden/>
    <w:unhideWhenUsed/>
    <w:rsid w:val="00157C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11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ph$ucTextoNotificacion$RepeaterFirmantesDocumento$ctl03$lnkDescargarCertificado','')" TargetMode="External"/><Relationship Id="rId3" Type="http://schemas.openxmlformats.org/officeDocument/2006/relationships/webSettings" Target="webSettings.xml"/><Relationship Id="rId7" Type="http://schemas.openxmlformats.org/officeDocument/2006/relationships/hyperlink" Target="javascript:__doPostBack('ctl00$cph$ucTextoNotificacion$RepeaterFirmantesDocumento$ctl02$lnkDescargarCertificad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__doPostBack('ctl00$cph$ucTextoNotificacion$RepeaterFirmantesDocumento$ctl01$lnkDescargarCertificado','')" TargetMode="External"/><Relationship Id="rId11" Type="http://schemas.openxmlformats.org/officeDocument/2006/relationships/fontTable" Target="fontTable.xml"/><Relationship Id="rId5" Type="http://schemas.openxmlformats.org/officeDocument/2006/relationships/hyperlink" Target="javascript:__doPostBack('ctl00$cph$ucTextoNotificacion$RepeaterFirmantesDocumento$ctl00$lnkDescargarCertificado','')" TargetMode="External"/><Relationship Id="rId10" Type="http://schemas.openxmlformats.org/officeDocument/2006/relationships/hyperlink" Target="mailto:frigorificodelacostasa@speedy.com.ar" TargetMode="External"/><Relationship Id="rId4" Type="http://schemas.openxmlformats.org/officeDocument/2006/relationships/hyperlink" Target="javascript:__doPostBack('ctl00$cph$ucTextoNotificacion$lnkDescargarCertificadoNotificador','')" TargetMode="Externa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6051</Words>
  <Characters>33285</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1</cp:revision>
  <dcterms:created xsi:type="dcterms:W3CDTF">2022-09-14T12:21:00Z</dcterms:created>
  <dcterms:modified xsi:type="dcterms:W3CDTF">2022-09-14T12:23:00Z</dcterms:modified>
</cp:coreProperties>
</file>